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Лекція №5</w:t>
      </w:r>
    </w:p>
    <w:p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ШКАЛИ  ВИМ</w:t>
      </w:r>
      <w:r>
        <w:rPr>
          <w:rFonts w:ascii="Times New Roman" w:hAnsi="Times New Roman" w:cs="Times New Roman"/>
          <w:b/>
          <w:sz w:val="28"/>
          <w:szCs w:val="28"/>
        </w:rPr>
        <w:t>І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РЮВАНЬ</w:t>
      </w:r>
    </w:p>
    <w:p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Вимірюванням підлягають різноманітні властивості об’єктів вимірювань (тіл, речовин, явищ, процесів). Властивості будь-яких об’єктів виявляються як кількісно, так і якісно.</w:t>
      </w:r>
    </w:p>
    <w:p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Наприклад: кількісними проявами об’єктів будуть довжина, маса, темпера-тура, електрична провідність, здатність намагнічуватись тощо. Якісними проя-вами будуть колір, запах, смак тощо. Кількісні прояви можна співставити між собою, бо їх характеризують ФВ з певними значеннями, які саме і порівнюють. Якісні прояви, навіть однорідних об’єктів, порівняти неможливо.</w:t>
      </w:r>
    </w:p>
    <w:p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Різноманіття (кількісне або якісне) проявів певної властивості утворює множини. Множину проявів кожної властивості потрібно впорядкувати і вира-зити в чомусь зрозумілому та зручному. Тому елементам вказаних множин зіставляється деяка система умовних позначок.</w:t>
      </w:r>
    </w:p>
    <w:p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Наприклад: множина кольорів об’єкта зіставляється система знаків у вигляді множини позначень (або назв) кольорів. Множині значень опору (сили струму, напруги тощо) зіставляється система знаків у вигляді множини дійсних чисел, які виражають значення в омах (амперах, вольтах тощо). До систем знаків відносять також множину балів оцінок, назв станів об’єкту, сукупність класифікаційних символів або понять і т.п.     </w:t>
      </w:r>
    </w:p>
    <w:p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Множина проявів властивостей об’єкта вимірювання, які відображені на систему умовних позначень, утворюють </w:t>
      </w:r>
      <w:r>
        <w:rPr>
          <w:rFonts w:ascii="Times New Roman" w:hAnsi="Times New Roman" w:cs="Times New Roman"/>
          <w:i/>
          <w:sz w:val="28"/>
          <w:szCs w:val="28"/>
        </w:rPr>
        <w:t>шкалу вимірювання</w:t>
      </w:r>
      <w:r>
        <w:rPr>
          <w:rFonts w:ascii="Times New Roman" w:hAnsi="Times New Roman" w:cs="Times New Roman"/>
          <w:sz w:val="28"/>
          <w:szCs w:val="28"/>
        </w:rPr>
        <w:t xml:space="preserve"> даної властивості. </w:t>
      </w:r>
    </w:p>
    <w:p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Шкала</w:t>
      </w:r>
      <w:r>
        <w:rPr>
          <w:rFonts w:ascii="Times New Roman" w:hAnsi="Times New Roman" w:cs="Times New Roman"/>
          <w:sz w:val="28"/>
          <w:szCs w:val="28"/>
        </w:rPr>
        <w:t xml:space="preserve"> – ряд величин, цифр у висхідному або низхідному порядку.</w:t>
      </w:r>
    </w:p>
    <w:p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Шкала вимірювання</w:t>
      </w:r>
      <w:r>
        <w:rPr>
          <w:rFonts w:ascii="Times New Roman" w:hAnsi="Times New Roman" w:cs="Times New Roman"/>
          <w:sz w:val="28"/>
          <w:szCs w:val="28"/>
        </w:rPr>
        <w:t xml:space="preserve"> – відображення множини різних проявів (реалізацій) якісної або кількісної властивості на прийняту впорядковану множину чисел або іншу систему логічно пов’язаних знаків (позначень). </w:t>
      </w:r>
    </w:p>
    <w:p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Елементи множини проявів властивостей знаходяться в певних логічних співвідношеннях між собою і тим визначають типи шкал вимірювань, які відповідають множині. Такими співвідношеннями можуть бути:</w:t>
      </w:r>
    </w:p>
    <w:p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«еквівалентність» (рівність) або «подібність» (близькість) цих елементів;</w:t>
      </w:r>
    </w:p>
    <w:p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кількісна помітність (различимость) елементів («більше», «менше»);</w:t>
      </w:r>
    </w:p>
    <w:p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допустимість виконання математичних операцій додавання, віднімання, множення, розподіл з елементами множин і т.ін.</w:t>
      </w:r>
    </w:p>
    <w:p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Шкали вимірювань прийнято класифікувати за типами вимірюваних даних, які визначають допустимі для даної шкали математичні перетворювання, а також типи співвідношень. Сучасну класифікацію шкал запропонував в 1946 р. Стенлі Сміт Стівенс, американський психолог: номінальну, порядкову, інтер-вальну і відносну. В сучасному світі застосовують 5 типів шкал.</w:t>
      </w:r>
    </w:p>
    <w:p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сучасному світі користуються такими типами шкал: найменувань (номі-нальна), порядку (рангів), різниць (інтервалів), відношень та абсолютною. Шкали різниць і відношень називають «метричними шкалами». Існують також логарифмічні, біофізичні, одномірні, багатомірні шкали.</w:t>
      </w:r>
    </w:p>
    <w:p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1. Шкала найменувань (номінальна, класифікаційна)</w:t>
      </w:r>
      <w:r>
        <w:rPr>
          <w:rFonts w:ascii="Times New Roman" w:hAnsi="Times New Roman" w:cs="Times New Roman"/>
          <w:sz w:val="28"/>
          <w:szCs w:val="28"/>
        </w:rPr>
        <w:t xml:space="preserve"> – шкала вимірювань якісних властивостей, яка характеризується співвідношенням еквівалентності різних проявів певної властивості. В таких шкалах немає нуля (начальної точки шкали), одиниці вимірювання і розмірності.</w:t>
      </w:r>
    </w:p>
    <w:p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Наприклад: назви держав, кольорів, марок автівок, різноманітні рейтинги учнів, спортсменів, тощо.</w:t>
      </w:r>
    </w:p>
    <w:p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Ознаки шкал найменувань задовольняють аксіомам тотожності:</w:t>
      </w:r>
    </w:p>
    <w:p>
      <w:pPr>
        <w:pStyle w:val="32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Або  А = В, або А ≠ В;</w:t>
      </w:r>
    </w:p>
    <w:p>
      <w:pPr>
        <w:pStyle w:val="32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Якщо А = В. то В = А;</w:t>
      </w:r>
    </w:p>
    <w:p>
      <w:pPr>
        <w:pStyle w:val="32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Якщо А = В та В = С, то А = С.</w:t>
      </w:r>
    </w:p>
    <w:p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При завеликій кількості класів використовують ієрархічні шкали най-менувань (наприклад, класифікаційні шкали в біології для рослин та тварин). </w:t>
      </w:r>
    </w:p>
    <w:p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Шкала класифікації (оцінки) кольорів об’єктів за найменуваннями (червоний, помаранчевий, жовтий, зелений, блакитний, синій, фіолетовий) спирається на стандартизовані атласи кольорів, систематизовані за подібністю. В таких атласах кольори можуть позначатися умовними номерами (координатами кольорів, точніше відтінків і нюансів). Вимірювання в шкалі кольорів виконують шляхом порівняння в стандартних умовах (при певному освітленні зразків кольорів з атласу і досліджуваного) та встановлення еквівалентності їх кольорів.     </w:t>
      </w:r>
    </w:p>
    <w:p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З величинами, які вимірюють в шкалах найменувань, можна виконувати тільки одну дію – перевірку співпадіння або ні певної властивості об’єктів. Але за результатами такої перевірки можна додатково отримувати кількісну інформацію – підраховувати частоти заповнення (вірогідності), тобто кількість співпадінь ознак для різних класів, які можна застосовувати в різних методах статистичного аналізу. </w:t>
      </w:r>
    </w:p>
    <w:p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2. Шкала порядка (рангів)</w:t>
      </w:r>
      <w:r>
        <w:rPr>
          <w:rFonts w:ascii="Times New Roman" w:hAnsi="Times New Roman" w:cs="Times New Roman"/>
          <w:sz w:val="28"/>
          <w:szCs w:val="28"/>
        </w:rPr>
        <w:t xml:space="preserve"> – шкала кількісної властивості, яка характеризу-ється співвідношеннями еквівалентності та порядку за зростанням (чи спадан-ням) різних проявів властивості. Тобто об’єкти в цій шкалі </w:t>
      </w:r>
      <w:r>
        <w:rPr>
          <w:rFonts w:ascii="Times New Roman" w:hAnsi="Times New Roman" w:cs="Times New Roman"/>
          <w:i/>
          <w:sz w:val="28"/>
          <w:szCs w:val="28"/>
        </w:rPr>
        <w:t xml:space="preserve">ранжовані </w:t>
      </w:r>
      <w:r>
        <w:rPr>
          <w:rFonts w:ascii="Times New Roman" w:hAnsi="Times New Roman" w:cs="Times New Roman"/>
          <w:sz w:val="28"/>
          <w:szCs w:val="28"/>
        </w:rPr>
        <w:t>(упоряд-ковані за рангом). В цих шкалах неможливо застосувати поняття одиниці вимірювання і розмірності, нуль або початок шкали може бути введений за домовленостю. Для цієї шкали допустимо монотонне перетворення. Але вона загруба.</w:t>
      </w:r>
    </w:p>
    <w:p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Наприклад: шкали чисел твердості тіл (Бринелля, Віккерса, Роквелла), будь-яка бальна шкала: шкільна, шкала балів землетрусів (шкала Ріхтера), мінералогічна шкала твердості мінералів (шкала Мооса).   </w:t>
      </w:r>
    </w:p>
    <w:p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Для того, щоб визначити твердість деревини застосовують метод Бринелля. В результаті отримують чисельний показник, який таврують безпосередньо на деревині. </w:t>
      </w:r>
      <w:r>
        <w:rPr>
          <w:rStyle w:val="15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Суть метода полягає в тому, що в невеликий фрагмент досліджує мого матеріалу із статичною силою (9,807 – 980, 7) Н вдавлюють алмазний наконечник в формі правильної чотиригранної піраміди і глибину відбитку, який залишився, вимірюють. 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Твердість дерева і показник за шкалою Бринелля тим вище, чим менше відбиток від піраміди.</w:t>
      </w:r>
    </w:p>
    <w:p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lang w:val="ru-RU" w:eastAsia="ru-RU" w:bidi="ar-SA"/>
        </w:rPr>
        <w:drawing>
          <wp:inline distT="0" distB="0" distL="0" distR="0">
            <wp:extent cx="5911215" cy="3811270"/>
            <wp:effectExtent l="19050" t="0" r="0" b="0"/>
            <wp:docPr id="4" name="Рисунок 4" descr="Таблица твердости древесины по Бринелл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4" descr="Таблица твердости древесины по Бринеллю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14601" cy="3813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spacing w:after="0"/>
        <w:ind w:firstLine="42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Рис. 1. Твердість порід деревини за шкалою Бринелля</w:t>
      </w:r>
    </w:p>
    <w:p>
      <w:pPr>
        <w:spacing w:after="0"/>
        <w:ind w:firstLine="426"/>
        <w:jc w:val="center"/>
        <w:rPr>
          <w:rFonts w:ascii="Times New Roman" w:hAnsi="Times New Roman" w:cs="Times New Roman"/>
          <w:sz w:val="28"/>
          <w:szCs w:val="28"/>
        </w:rPr>
      </w:pPr>
    </w:p>
    <w:p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3. Шкала різниць (інтервалів)</w:t>
      </w:r>
      <w:r>
        <w:rPr>
          <w:rFonts w:ascii="Times New Roman" w:hAnsi="Times New Roman" w:cs="Times New Roman"/>
          <w:sz w:val="28"/>
          <w:szCs w:val="28"/>
        </w:rPr>
        <w:t xml:space="preserve"> – шкала кількісної властивості, яка характеризується співвідношенням еквівалентності, порядку, підсумовування інтервалів різних проявів властивості. В цих шкалах можливо встановити одиниці вимірювань та нулі, які спираються на опорні точки (</w:t>
      </w:r>
      <w:r>
        <w:rPr>
          <w:rFonts w:ascii="Times New Roman" w:hAnsi="Times New Roman" w:cs="Times New Roman"/>
          <w:i/>
          <w:sz w:val="28"/>
          <w:szCs w:val="28"/>
        </w:rPr>
        <w:t>репери</w:t>
      </w:r>
      <w:r>
        <w:rPr>
          <w:rFonts w:ascii="Times New Roman" w:hAnsi="Times New Roman" w:cs="Times New Roman"/>
          <w:sz w:val="28"/>
          <w:szCs w:val="28"/>
        </w:rPr>
        <w:t xml:space="preserve">). Також застосовують поняття розмірностей. </w:t>
      </w:r>
    </w:p>
    <w:p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шкалах інтервалів здійснюється порівняння з еталоном. Характерне лінійне перетворення. </w:t>
      </w:r>
    </w:p>
    <w:p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Наприклад: шкала інтервалів часу, температурні шкали Цельсія. Фаренгейта, Реомюра.</w:t>
      </w:r>
    </w:p>
    <w:p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цих шкалах можливо підсумовувати окремі інтервали, наприклад, часу або різницю температур, але підсумовувати (чи віднімати) моменти часу (дати подій) або значення температур – безглуздо. </w:t>
      </w:r>
    </w:p>
    <w:p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Таблиця 1 – Шкала Бофорта</w:t>
      </w:r>
    </w:p>
    <w:p>
      <w:pPr>
        <w:spacing w:after="0"/>
        <w:ind w:firstLine="42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lang w:val="ru-RU" w:eastAsia="ru-RU" w:bidi="ar-SA"/>
        </w:rPr>
        <w:drawing>
          <wp:inline distT="0" distB="0" distL="0" distR="0">
            <wp:extent cx="5499100" cy="5551170"/>
            <wp:effectExtent l="19050" t="0" r="5902" b="0"/>
            <wp:docPr id="7" name="Рисунок 7" descr="шкала Бофорт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7" descr="шкала Бофорта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503919" cy="55557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4. Шкала відношень</w:t>
      </w:r>
      <w:r>
        <w:rPr>
          <w:rFonts w:ascii="Times New Roman" w:hAnsi="Times New Roman" w:cs="Times New Roman"/>
          <w:sz w:val="28"/>
          <w:szCs w:val="28"/>
        </w:rPr>
        <w:t xml:space="preserve"> – шкала вимірювань кількісних властивостей, яка характеризується співвідношеннями еквівалентності, порядку, пропорційності (і в деяких випадках допускається операція підсумку) різних проявів властивостей. В шкалах уведені одиниці вимірювань, є природні нулі і поняття розмірності. В цих шкалах допускається перетворення подібності (тобто помноження на константу).</w:t>
      </w:r>
    </w:p>
    <w:p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Природній нуль шкали</w:t>
      </w:r>
      <w:r>
        <w:rPr>
          <w:rFonts w:ascii="Times New Roman" w:hAnsi="Times New Roman" w:cs="Times New Roman"/>
          <w:sz w:val="28"/>
          <w:szCs w:val="28"/>
        </w:rPr>
        <w:t xml:space="preserve"> – начальна точка шкали, яка відповідає такому кількісному прояву властивості, яке прагне до нуля.</w:t>
      </w:r>
    </w:p>
    <w:p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Шкали відношень, в яких не має сенсу операція підсумку називають </w:t>
      </w:r>
      <w:r>
        <w:rPr>
          <w:rFonts w:ascii="Times New Roman" w:hAnsi="Times New Roman" w:cs="Times New Roman"/>
          <w:i/>
          <w:sz w:val="28"/>
          <w:szCs w:val="28"/>
        </w:rPr>
        <w:t xml:space="preserve">пропорційними шкалами відношень </w:t>
      </w:r>
      <w:r>
        <w:rPr>
          <w:rFonts w:ascii="Times New Roman" w:hAnsi="Times New Roman" w:cs="Times New Roman"/>
          <w:sz w:val="28"/>
          <w:szCs w:val="28"/>
        </w:rPr>
        <w:t>або</w:t>
      </w:r>
      <w:r>
        <w:rPr>
          <w:rFonts w:ascii="Times New Roman" w:hAnsi="Times New Roman" w:cs="Times New Roman"/>
          <w:i/>
          <w:sz w:val="28"/>
          <w:szCs w:val="28"/>
        </w:rPr>
        <w:t xml:space="preserve"> шкалами відношень 1-го роду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i/>
          <w:sz w:val="28"/>
          <w:szCs w:val="28"/>
        </w:rPr>
        <w:t xml:space="preserve">Адитивними шкалами відношень </w:t>
      </w:r>
      <w:r>
        <w:rPr>
          <w:rFonts w:ascii="Times New Roman" w:hAnsi="Times New Roman" w:cs="Times New Roman"/>
          <w:sz w:val="28"/>
          <w:szCs w:val="28"/>
        </w:rPr>
        <w:t>або</w:t>
      </w:r>
      <w:r>
        <w:rPr>
          <w:rFonts w:ascii="Times New Roman" w:hAnsi="Times New Roman" w:cs="Times New Roman"/>
          <w:i/>
          <w:sz w:val="28"/>
          <w:szCs w:val="28"/>
        </w:rPr>
        <w:t xml:space="preserve"> шкалами відношень 2-го роду</w:t>
      </w:r>
      <w:r>
        <w:rPr>
          <w:rFonts w:ascii="Times New Roman" w:hAnsi="Times New Roman" w:cs="Times New Roman"/>
          <w:sz w:val="28"/>
          <w:szCs w:val="28"/>
        </w:rPr>
        <w:t xml:space="preserve"> називають ті, в яких операція підсумку має сенс.  </w:t>
      </w:r>
    </w:p>
    <w:p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Наприклад: шкала термодинамічних температур є пропорційною, а шкала мас – адитивною шкалою відношень.    </w:t>
      </w:r>
    </w:p>
    <w:p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Таблиця 2 – Шкала твердості мінералів за Моосом.</w:t>
      </w:r>
    </w:p>
    <w:p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spacing w:after="0"/>
        <w:jc w:val="distribute"/>
        <w:rPr>
          <w:rFonts w:ascii="Times New Roman" w:hAnsi="Times New Roman" w:cs="Times New Roman"/>
          <w:sz w:val="28"/>
          <w:szCs w:val="28"/>
        </w:rPr>
      </w:pPr>
      <w:r>
        <w:rPr>
          <w:lang w:val="ru-RU" w:eastAsia="ru-RU" w:bidi="ar-SA"/>
        </w:rPr>
        <w:drawing>
          <wp:inline distT="0" distB="0" distL="0" distR="0">
            <wp:extent cx="5940425" cy="5940425"/>
            <wp:effectExtent l="0" t="0" r="3175" b="3175"/>
            <wp:docPr id="1" name="Рисунок 1" descr="https://multiurok.ru/img/633806/image_5f00e385514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https://multiurok.ru/img/633806/image_5f00e3855143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5940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5. Абсолютна шкала </w:t>
      </w:r>
      <w:r>
        <w:rPr>
          <w:rFonts w:ascii="Times New Roman" w:hAnsi="Times New Roman" w:cs="Times New Roman"/>
          <w:sz w:val="28"/>
          <w:szCs w:val="28"/>
        </w:rPr>
        <w:t xml:space="preserve">– це шкала відношень (пропорційна або адитивна) безрозмірної величини. </w:t>
      </w:r>
    </w:p>
    <w:p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цих шкалах встановлюють природні (тобто такі, що не залежать від прийнятої системи одиниць) нулі та безрозмірні одиниці вимірювань. Такі шкали застосовують для вимірювання відносних одиниць: коефіцієнтів підсилення, ослаблення, ККД, відбиття, поглинання, амплітудної, частотної, часової модуляції тощо. Одиниці вимірювання можуть бути: безрозмірні (коефіцієнти), у вигляді іменованих відносних одиницях (відсотки, проміле), у логарифмічних одиницях. </w:t>
      </w:r>
    </w:p>
    <w:p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Логарифмічна шкала</w:t>
      </w:r>
      <w:r>
        <w:rPr>
          <w:rFonts w:ascii="Times New Roman" w:hAnsi="Times New Roman" w:cs="Times New Roman"/>
          <w:sz w:val="28"/>
          <w:szCs w:val="28"/>
        </w:rPr>
        <w:t xml:space="preserve"> -  шкала, побудована на основі систем логарифмів. Зазвичай застосовують системи десятинних або натуральних логарифмів, а також з основою два. Результати виражають логарифмічними одиницями вимірювань (бел – Б, децибел – дБ, лог, децилог, непер (Нп), байт і т.п.).</w:t>
      </w:r>
    </w:p>
    <w:p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Величина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 w:eastAsiaTheme="minorEastAsia"/>
          <w:i/>
          <w:sz w:val="28"/>
          <w:szCs w:val="28"/>
          <w:lang w:val="en-US"/>
        </w:rPr>
        <w:t>L</w:t>
      </w:r>
      <w:r>
        <w:rPr>
          <w:rFonts w:ascii="Times New Roman" w:hAnsi="Times New Roman" w:cs="Times New Roman"/>
          <w:sz w:val="28"/>
          <w:szCs w:val="28"/>
        </w:rPr>
        <w:t>, виражена в белах, дорівнює</w:t>
      </w:r>
    </w:p>
    <w:p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spacing w:after="0"/>
        <w:ind w:firstLine="426"/>
        <w:jc w:val="center"/>
        <w:rPr>
          <w:rFonts w:ascii="Times New Roman" w:hAnsi="Times New Roman" w:cs="Times New Roman" w:eastAsiaTheme="minorEastAsia"/>
          <w:sz w:val="28"/>
          <w:szCs w:val="28"/>
          <w:lang w:val="ru-RU"/>
        </w:rPr>
      </w:pPr>
      <w:r>
        <w:rPr>
          <w:rFonts w:ascii="Times New Roman" w:hAnsi="Times New Roman" w:cs="Times New Roman" w:eastAsiaTheme="minorEastAsia"/>
          <w:sz w:val="28"/>
          <w:szCs w:val="28"/>
          <w:lang w:val="ru-RU"/>
        </w:rPr>
        <w:t xml:space="preserve">                                            </w:t>
      </w:r>
      <m:oMath>
        <m:r>
          <m:rPr/>
          <w:rPr>
            <w:rFonts w:ascii="Cambria Math" w:hAnsi="Cambria Math" w:cs="Times New Roman"/>
            <w:sz w:val="28"/>
            <w:szCs w:val="28"/>
          </w:rPr>
          <m:t>L=lg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m:rPr/>
                  <w:rPr>
                    <w:rFonts w:ascii="Cambria Math" w:hAnsi="Cambria Math" w:cs="Times New Roman"/>
                    <w:sz w:val="28"/>
                    <w:szCs w:val="28"/>
                  </w:rPr>
                  <m:t>P</m:t>
                </m: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e>
              <m:sub>
                <m:r>
                  <m:rPr/>
                  <w:rPr>
                    <w:rFonts w:ascii="Cambria Math" w:hAnsi="Cambria Math" w:cs="Times New Roman"/>
                    <w:sz w:val="28"/>
                    <w:szCs w:val="28"/>
                  </w:rPr>
                  <m:t>1</m:t>
                </m: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ub>
            </m:sSub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num>
          <m:den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m:rPr/>
                  <w:rPr>
                    <w:rFonts w:ascii="Cambria Math" w:hAnsi="Cambria Math" w:cs="Times New Roman"/>
                    <w:sz w:val="28"/>
                    <w:szCs w:val="28"/>
                  </w:rPr>
                  <m:t>P</m:t>
                </m: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e>
              <m:sub>
                <m:r>
                  <m:rPr/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ub>
            </m:sSub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en>
        </m:f>
        <m:r>
          <m:rPr/>
          <w:rPr>
            <w:rFonts w:ascii="Cambria Math" w:hAnsi="Cambria Math" w:cs="Times New Roman"/>
            <w:sz w:val="28"/>
            <w:szCs w:val="28"/>
          </w:rPr>
          <m:t>=2</m:t>
        </m:r>
        <m:func>
          <m:func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lg</m:t>
            </m: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Name>
          <m:e>
            <m:f>
              <m:f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m:rPr/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F</m:t>
                    </m: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e>
                  <m:sub>
                    <m:r>
                      <m:rPr/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1</m:t>
                    </m: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ub>
                </m:sSub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num>
              <m:den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m:rPr/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F</m:t>
                    </m: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e>
                  <m:sub>
                    <m:r>
                      <m:rPr/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2</m:t>
                    </m: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ub>
                </m:sSub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den>
            </m:f>
            <m:r>
              <m:rPr/>
              <w:rPr>
                <w:rFonts w:ascii="Cambria Math" w:hAnsi="Cambria Math" w:cs="Times New Roman"/>
                <w:sz w:val="28"/>
                <w:szCs w:val="28"/>
              </w:rPr>
              <m:t>,</m:t>
            </m: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e>
        </m:func>
      </m:oMath>
      <w:r>
        <w:rPr>
          <w:rFonts w:ascii="Times New Roman" w:hAnsi="Times New Roman" w:cs="Times New Roman" w:eastAsiaTheme="minorEastAsia"/>
          <w:sz w:val="28"/>
          <w:szCs w:val="28"/>
          <w:lang w:val="ru-RU"/>
        </w:rPr>
        <w:t xml:space="preserve">                                              (1.53)</w:t>
      </w:r>
    </w:p>
    <w:p>
      <w:pPr>
        <w:spacing w:after="0"/>
        <w:ind w:firstLine="426"/>
        <w:jc w:val="center"/>
        <w:rPr>
          <w:rFonts w:ascii="Times New Roman" w:hAnsi="Times New Roman" w:cs="Times New Roman" w:eastAsiaTheme="minorEastAsia"/>
          <w:sz w:val="28"/>
          <w:szCs w:val="28"/>
          <w:lang w:val="ru-RU"/>
        </w:rPr>
      </w:pPr>
    </w:p>
    <w:p>
      <w:pPr>
        <w:spacing w:after="0"/>
        <w:jc w:val="both"/>
        <w:rPr>
          <w:rFonts w:ascii="Times New Roman" w:hAnsi="Times New Roman" w:cs="Times New Roman" w:eastAsiaTheme="minorEastAsia"/>
          <w:sz w:val="28"/>
          <w:szCs w:val="28"/>
          <w:lang w:val="ru-RU"/>
        </w:rPr>
      </w:pPr>
      <w:r>
        <w:rPr>
          <w:rFonts w:ascii="Times New Roman" w:hAnsi="Times New Roman" w:cs="Times New Roman" w:eastAsiaTheme="minorEastAsia"/>
          <w:sz w:val="28"/>
          <w:szCs w:val="28"/>
        </w:rPr>
        <w:t xml:space="preserve">Величина </w:t>
      </w:r>
      <w:r>
        <w:rPr>
          <w:rFonts w:ascii="Times New Roman" w:hAnsi="Times New Roman" w:cs="Times New Roman" w:eastAsiaTheme="minorEastAsia"/>
          <w:i/>
          <w:sz w:val="28"/>
          <w:szCs w:val="28"/>
          <w:lang w:val="en-US"/>
        </w:rPr>
        <w:t>L</w:t>
      </w:r>
      <w:r>
        <w:rPr>
          <w:rFonts w:ascii="Times New Roman" w:hAnsi="Times New Roman" w:cs="Times New Roman" w:eastAsiaTheme="minorEastAsia"/>
          <w:sz w:val="28"/>
          <w:szCs w:val="28"/>
        </w:rPr>
        <w:t>, виражена в неперах, дорівнює</w:t>
      </w:r>
    </w:p>
    <w:p>
      <w:pPr>
        <w:spacing w:after="0"/>
        <w:jc w:val="both"/>
        <w:rPr>
          <w:rFonts w:ascii="Times New Roman" w:hAnsi="Times New Roman" w:cs="Times New Roman" w:eastAsiaTheme="minorEastAsia"/>
          <w:sz w:val="28"/>
          <w:szCs w:val="28"/>
          <w:lang w:val="ru-RU"/>
        </w:rPr>
      </w:pPr>
    </w:p>
    <w:p>
      <w:pPr>
        <w:spacing w:after="0"/>
        <w:jc w:val="both"/>
        <w:rPr>
          <w:rFonts w:ascii="Times New Roman" w:hAnsi="Times New Roman" w:cs="Times New Roman" w:eastAsiaTheme="minorEastAsia"/>
          <w:sz w:val="28"/>
          <w:szCs w:val="28"/>
          <w:lang w:val="ru-RU"/>
        </w:rPr>
      </w:pPr>
      <w:r>
        <w:rPr>
          <w:rFonts w:ascii="Times New Roman" w:hAnsi="Times New Roman" w:cs="Times New Roman" w:eastAsiaTheme="minorEastAsia"/>
          <w:sz w:val="28"/>
          <w:szCs w:val="28"/>
          <w:lang w:val="ru-RU"/>
        </w:rPr>
        <w:t xml:space="preserve">                                                    </w:t>
      </w:r>
      <m:oMath>
        <m:r>
          <m:rPr/>
          <w:rPr>
            <w:rFonts w:ascii="Cambria Math" w:hAnsi="Cambria Math" w:cs="Times New Roman"/>
            <w:sz w:val="28"/>
            <w:szCs w:val="28"/>
          </w:rPr>
          <m:t>L=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m:rPr/>
              <w:rPr>
                <w:rFonts w:ascii="Cambria Math" w:hAnsi="Cambria Math" w:cs="Times New Roman"/>
                <w:sz w:val="28"/>
                <w:szCs w:val="28"/>
              </w:rPr>
              <m:t>1</m:t>
            </m: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num>
          <m:den>
            <m:r>
              <m:rPr/>
              <w:rPr>
                <w:rFonts w:ascii="Cambria Math" w:hAnsi="Cambria Math" w:cs="Times New Roman"/>
                <w:sz w:val="28"/>
                <w:szCs w:val="28"/>
              </w:rPr>
              <m:t>2</m:t>
            </m: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en>
        </m:f>
        <m:r>
          <m:rPr/>
          <w:rPr>
            <w:rFonts w:ascii="Cambria Math" w:hAnsi="Cambria Math" w:cs="Times New Roman"/>
            <w:sz w:val="28"/>
            <w:szCs w:val="28"/>
          </w:rPr>
          <m:t>ln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m:rPr/>
                  <w:rPr>
                    <w:rFonts w:ascii="Cambria Math" w:hAnsi="Cambria Math" w:cs="Times New Roman"/>
                    <w:sz w:val="28"/>
                    <w:szCs w:val="28"/>
                  </w:rPr>
                  <m:t>P</m:t>
                </m: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e>
              <m:sub>
                <m:r>
                  <m:rPr/>
                  <w:rPr>
                    <w:rFonts w:ascii="Cambria Math" w:hAnsi="Cambria Math" w:cs="Times New Roman"/>
                    <w:sz w:val="28"/>
                    <w:szCs w:val="28"/>
                  </w:rPr>
                  <m:t>1</m:t>
                </m: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ub>
            </m:sSub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num>
          <m:den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m:rPr/>
                  <w:rPr>
                    <w:rFonts w:ascii="Cambria Math" w:hAnsi="Cambria Math" w:cs="Times New Roman"/>
                    <w:sz w:val="28"/>
                    <w:szCs w:val="28"/>
                  </w:rPr>
                  <m:t>P</m:t>
                </m: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e>
              <m:sub>
                <m:r>
                  <m:rPr/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ub>
            </m:sSub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en>
        </m:f>
        <m:r>
          <m:rPr/>
          <w:rPr>
            <w:rFonts w:ascii="Cambria Math" w:hAnsi="Cambria Math" w:cs="Times New Roman"/>
            <w:sz w:val="28"/>
            <w:szCs w:val="28"/>
          </w:rPr>
          <m:t>=</m:t>
        </m:r>
        <m:func>
          <m:func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uncPr>
          <m:fName>
            <m:r>
              <m:rPr/>
              <w:rPr>
                <w:rFonts w:ascii="Cambria Math" w:hAnsi="Cambria Math" w:cs="Times New Roman"/>
                <w:sz w:val="28"/>
                <w:szCs w:val="28"/>
              </w:rPr>
              <m:t>ln</m:t>
            </m: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Name>
          <m:e>
            <m:f>
              <m:f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m:rPr/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F</m:t>
                    </m: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e>
                  <m:sub>
                    <m:r>
                      <m:rPr/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1</m:t>
                    </m: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ub>
                </m:sSub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num>
              <m:den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m:rPr/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F</m:t>
                    </m: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e>
                  <m:sub>
                    <m:r>
                      <m:rPr/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2</m:t>
                    </m: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ub>
                </m:sSub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den>
            </m:f>
            <m:r>
              <m:rPr/>
              <w:rPr>
                <w:rFonts w:ascii="Cambria Math" w:hAnsi="Cambria Math" w:cs="Times New Roman"/>
                <w:sz w:val="28"/>
                <w:szCs w:val="28"/>
              </w:rPr>
              <m:t>,</m:t>
            </m: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e>
        </m:func>
      </m:oMath>
      <w:r>
        <w:rPr>
          <w:rFonts w:ascii="Times New Roman" w:hAnsi="Times New Roman" w:cs="Times New Roman" w:eastAsiaTheme="minorEastAsia"/>
          <w:sz w:val="28"/>
          <w:szCs w:val="28"/>
          <w:lang w:val="ru-RU"/>
        </w:rPr>
        <w:t xml:space="preserve">                                             (1.54)</w:t>
      </w:r>
    </w:p>
    <w:p>
      <w:pPr>
        <w:spacing w:after="0"/>
        <w:jc w:val="both"/>
        <w:rPr>
          <w:rFonts w:ascii="Times New Roman" w:hAnsi="Times New Roman" w:cs="Times New Roman" w:eastAsiaTheme="minorEastAsia"/>
          <w:sz w:val="28"/>
          <w:szCs w:val="28"/>
          <w:lang w:val="ru-RU"/>
        </w:rPr>
      </w:pPr>
    </w:p>
    <w:p>
      <w:pPr>
        <w:spacing w:after="0"/>
        <w:jc w:val="both"/>
        <w:rPr>
          <w:rFonts w:ascii="Times New Roman" w:hAnsi="Times New Roman" w:cs="Times New Roman" w:eastAsiaTheme="minorEastAsia"/>
          <w:sz w:val="28"/>
          <w:szCs w:val="28"/>
          <w:lang w:val="ru-RU"/>
        </w:rPr>
      </w:pPr>
    </w:p>
    <w:p>
      <w:pPr>
        <w:spacing w:after="0"/>
        <w:jc w:val="both"/>
        <w:rPr>
          <w:rFonts w:ascii="Times New Roman" w:hAnsi="Times New Roman" w:cs="Times New Roman" w:eastAsiaTheme="minorEastAsia"/>
          <w:sz w:val="28"/>
          <w:szCs w:val="28"/>
        </w:rPr>
      </w:pPr>
      <w:r>
        <w:rPr>
          <w:rFonts w:ascii="Times New Roman" w:hAnsi="Times New Roman" w:cs="Times New Roman" w:eastAsiaTheme="minorEastAsia"/>
          <w:sz w:val="28"/>
          <w:szCs w:val="28"/>
        </w:rPr>
        <w:t xml:space="preserve">де </w:t>
      </w:r>
      <w:r>
        <w:rPr>
          <w:rFonts w:ascii="Times New Roman" w:hAnsi="Times New Roman" w:cs="Times New Roman" w:eastAsiaTheme="minorEastAsia"/>
          <w:i/>
          <w:sz w:val="28"/>
          <w:szCs w:val="28"/>
        </w:rPr>
        <w:t>Р</w:t>
      </w:r>
      <w:r>
        <w:rPr>
          <w:rFonts w:ascii="Times New Roman" w:hAnsi="Times New Roman" w:cs="Times New Roman" w:eastAsiaTheme="minorEastAsia"/>
          <w:i/>
          <w:sz w:val="28"/>
          <w:szCs w:val="28"/>
          <w:vertAlign w:val="subscript"/>
        </w:rPr>
        <w:t>1,2</w:t>
      </w:r>
      <w:r>
        <w:rPr>
          <w:rFonts w:ascii="Times New Roman" w:hAnsi="Times New Roman" w:cs="Times New Roman" w:eastAsiaTheme="minorEastAsia"/>
          <w:sz w:val="28"/>
          <w:szCs w:val="28"/>
        </w:rPr>
        <w:t xml:space="preserve"> – однойменні енергетичні величини (енергія, потужність, інтенсивність), </w:t>
      </w:r>
      <w:r>
        <w:rPr>
          <w:rFonts w:ascii="Times New Roman" w:hAnsi="Times New Roman" w:cs="Times New Roman" w:eastAsiaTheme="minorEastAsia"/>
          <w:i/>
          <w:sz w:val="28"/>
          <w:szCs w:val="28"/>
          <w:lang w:val="en-US"/>
        </w:rPr>
        <w:t>F</w:t>
      </w:r>
      <w:r>
        <w:rPr>
          <w:rFonts w:ascii="Times New Roman" w:hAnsi="Times New Roman" w:cs="Times New Roman" w:eastAsiaTheme="minorEastAsia"/>
          <w:i/>
          <w:sz w:val="28"/>
          <w:szCs w:val="28"/>
          <w:vertAlign w:val="subscript"/>
          <w:lang w:val="ru-RU"/>
        </w:rPr>
        <w:t>1,2</w:t>
      </w:r>
      <w:r>
        <w:rPr>
          <w:rFonts w:ascii="Times New Roman" w:hAnsi="Times New Roman" w:cs="Times New Roman" w:eastAsiaTheme="minorEastAsia"/>
          <w:sz w:val="28"/>
          <w:szCs w:val="28"/>
          <w:lang w:val="ru-RU"/>
        </w:rPr>
        <w:t xml:space="preserve"> – однойменні силові </w:t>
      </w:r>
      <w:r>
        <w:rPr>
          <w:rFonts w:ascii="Times New Roman" w:hAnsi="Times New Roman" w:cs="Times New Roman" w:eastAsiaTheme="minorEastAsia"/>
          <w:sz w:val="28"/>
          <w:szCs w:val="28"/>
        </w:rPr>
        <w:t>величини (напруга, сила струму).</w:t>
      </w:r>
    </w:p>
    <w:p>
      <w:pPr>
        <w:spacing w:after="0"/>
        <w:ind w:firstLine="426"/>
        <w:jc w:val="both"/>
        <w:rPr>
          <w:rFonts w:ascii="Times New Roman" w:hAnsi="Times New Roman" w:cs="Times New Roman" w:eastAsiaTheme="minorEastAsia"/>
          <w:sz w:val="28"/>
          <w:szCs w:val="28"/>
        </w:rPr>
      </w:pPr>
      <w:r>
        <w:rPr>
          <w:rFonts w:ascii="Times New Roman" w:hAnsi="Times New Roman" w:cs="Times New Roman" w:eastAsiaTheme="minorEastAsia"/>
          <w:sz w:val="28"/>
          <w:szCs w:val="28"/>
        </w:rPr>
        <w:t>Логарифмічні шкали підрозділяють на:</w:t>
      </w:r>
    </w:p>
    <w:p>
      <w:pPr>
        <w:spacing w:after="0"/>
        <w:ind w:firstLine="426"/>
        <w:jc w:val="both"/>
        <w:rPr>
          <w:rFonts w:ascii="Times New Roman" w:hAnsi="Times New Roman" w:cs="Times New Roman" w:eastAsiaTheme="minorEastAsia"/>
          <w:sz w:val="28"/>
          <w:szCs w:val="28"/>
        </w:rPr>
      </w:pPr>
      <w:r>
        <w:rPr>
          <w:rFonts w:ascii="Times New Roman" w:hAnsi="Times New Roman" w:cs="Times New Roman" w:eastAsiaTheme="minorEastAsia"/>
          <w:sz w:val="28"/>
          <w:szCs w:val="28"/>
        </w:rPr>
        <w:t xml:space="preserve">а) </w:t>
      </w:r>
      <w:r>
        <w:rPr>
          <w:rFonts w:ascii="Times New Roman" w:hAnsi="Times New Roman" w:cs="Times New Roman" w:eastAsiaTheme="minorEastAsia"/>
          <w:i/>
          <w:sz w:val="28"/>
          <w:szCs w:val="28"/>
          <w:u w:val="single"/>
        </w:rPr>
        <w:t>логарифмічну шкали різниць</w:t>
      </w:r>
      <w:r>
        <w:rPr>
          <w:rFonts w:ascii="Times New Roman" w:hAnsi="Times New Roman" w:cs="Times New Roman" w:eastAsiaTheme="minorEastAsia"/>
          <w:sz w:val="28"/>
          <w:szCs w:val="28"/>
        </w:rPr>
        <w:t xml:space="preserve"> – шкала, отримана при логарифмічному перетворенні величини, описана шкалою  відношень або інтервалів, тобто шкала, яка визначається залежністю </w:t>
      </w:r>
      <m:oMath>
        <m:r>
          <m:rPr/>
          <w:rPr>
            <w:rFonts w:ascii="Cambria Math" w:hAnsi="Cambria Math" w:cs="Times New Roman" w:eastAsiaTheme="minorEastAsia"/>
            <w:sz w:val="28"/>
            <w:szCs w:val="28"/>
            <w:lang w:val="en-US"/>
          </w:rPr>
          <m:t>L</m:t>
        </m:r>
        <m:r>
          <m:rPr/>
          <w:rPr>
            <w:rFonts w:ascii="Cambria Math" w:hAnsi="Cambria Math" w:cs="Times New Roman" w:eastAsiaTheme="minorEastAsia"/>
            <w:sz w:val="28"/>
            <w:szCs w:val="28"/>
          </w:rPr>
          <m:t>=</m:t>
        </m:r>
        <m:func>
          <m:funcPr>
            <m:ctrlPr>
              <w:rPr>
                <w:rFonts w:ascii="Cambria Math" w:hAnsi="Cambria Math" w:cs="Times New Roman" w:eastAsiaTheme="minorEastAsia"/>
                <w:i/>
                <w:sz w:val="28"/>
                <w:szCs w:val="28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 w:eastAsiaTheme="minorEastAsia"/>
                <w:sz w:val="28"/>
                <w:szCs w:val="28"/>
              </w:rPr>
              <m:t>log</m:t>
            </m:r>
            <m:ctrlPr>
              <w:rPr>
                <w:rFonts w:ascii="Cambria Math" w:hAnsi="Cambria Math" w:cs="Times New Roman" w:eastAsiaTheme="minorEastAsia"/>
                <w:i/>
                <w:sz w:val="28"/>
                <w:szCs w:val="28"/>
              </w:rPr>
            </m:ctrlPr>
          </m:fName>
          <m:e>
            <m:f>
              <m:fPr>
                <m:ctrlPr>
                  <w:rPr>
                    <w:rFonts w:ascii="Cambria Math" w:hAnsi="Cambria Math" w:cs="Times New Roman" w:eastAsiaTheme="minorEastAsia"/>
                    <w:i/>
                    <w:sz w:val="28"/>
                    <w:szCs w:val="28"/>
                  </w:rPr>
                </m:ctrlPr>
              </m:fPr>
              <m:num>
                <m:r>
                  <m:rPr/>
                  <w:rPr>
                    <w:rFonts w:ascii="Cambria Math" w:hAnsi="Cambria Math" w:cs="Times New Roman" w:eastAsiaTheme="minorEastAsia"/>
                    <w:sz w:val="28"/>
                    <w:szCs w:val="28"/>
                  </w:rPr>
                  <m:t>X</m:t>
                </m:r>
                <m:ctrlPr>
                  <w:rPr>
                    <w:rFonts w:ascii="Cambria Math" w:hAnsi="Cambria Math" w:cs="Times New Roman" w:eastAsiaTheme="minorEastAsia"/>
                    <w:i/>
                    <w:sz w:val="28"/>
                    <w:szCs w:val="28"/>
                  </w:rPr>
                </m:ctrlPr>
              </m:num>
              <m:den>
                <m:sSub>
                  <m:sSubPr>
                    <m:ctrlPr>
                      <w:rPr>
                        <w:rFonts w:ascii="Cambria Math" w:hAnsi="Cambria Math" w:cs="Times New Roman" w:eastAsiaTheme="minorEastAsia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m:rPr/>
                      <w:rPr>
                        <w:rFonts w:ascii="Cambria Math" w:hAnsi="Cambria Math" w:cs="Times New Roman" w:eastAsiaTheme="minorEastAsia"/>
                        <w:sz w:val="28"/>
                        <w:szCs w:val="28"/>
                      </w:rPr>
                      <m:t>X</m:t>
                    </m:r>
                    <m:ctrlPr>
                      <w:rPr>
                        <w:rFonts w:ascii="Cambria Math" w:hAnsi="Cambria Math" w:cs="Times New Roman" w:eastAsiaTheme="minorEastAsia"/>
                        <w:i/>
                        <w:sz w:val="28"/>
                        <w:szCs w:val="28"/>
                      </w:rPr>
                    </m:ctrlPr>
                  </m:e>
                  <m:sub>
                    <m:r>
                      <m:rPr/>
                      <w:rPr>
                        <w:rFonts w:ascii="Cambria Math" w:hAnsi="Cambria Math" w:cs="Times New Roman" w:eastAsiaTheme="minorEastAsia"/>
                        <w:sz w:val="28"/>
                        <w:szCs w:val="28"/>
                      </w:rPr>
                      <m:t>0</m:t>
                    </m:r>
                    <m:ctrlPr>
                      <w:rPr>
                        <w:rFonts w:ascii="Cambria Math" w:hAnsi="Cambria Math" w:cs="Times New Roman" w:eastAsiaTheme="minorEastAsia"/>
                        <w:i/>
                        <w:sz w:val="28"/>
                        <w:szCs w:val="28"/>
                      </w:rPr>
                    </m:ctrlPr>
                  </m:sub>
                </m:sSub>
                <m:ctrlPr>
                  <w:rPr>
                    <w:rFonts w:ascii="Cambria Math" w:hAnsi="Cambria Math" w:cs="Times New Roman" w:eastAsiaTheme="minorEastAsia"/>
                    <w:i/>
                    <w:sz w:val="28"/>
                    <w:szCs w:val="28"/>
                  </w:rPr>
                </m:ctrlPr>
              </m:den>
            </m:f>
            <m:r>
              <m:rPr/>
              <w:rPr>
                <w:rFonts w:ascii="Cambria Math" w:hAnsi="Cambria Math" w:cs="Times New Roman" w:eastAsiaTheme="minorEastAsia"/>
                <w:sz w:val="28"/>
                <w:szCs w:val="28"/>
              </w:rPr>
              <m:t>,</m:t>
            </m:r>
            <m:ctrlPr>
              <w:rPr>
                <w:rFonts w:ascii="Cambria Math" w:hAnsi="Cambria Math" w:cs="Times New Roman" w:eastAsiaTheme="minorEastAsia"/>
                <w:i/>
                <w:sz w:val="28"/>
                <w:szCs w:val="28"/>
              </w:rPr>
            </m:ctrlPr>
          </m:e>
        </m:func>
      </m:oMath>
      <w:r>
        <w:rPr>
          <w:rFonts w:ascii="Times New Roman" w:hAnsi="Times New Roman" w:cs="Times New Roman" w:eastAsiaTheme="minorEastAsia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 w:eastAsiaTheme="minorEastAsia"/>
          <w:sz w:val="28"/>
          <w:szCs w:val="28"/>
        </w:rPr>
        <w:t xml:space="preserve">де </w:t>
      </w:r>
      <w:r>
        <w:rPr>
          <w:rFonts w:ascii="Times New Roman" w:hAnsi="Times New Roman" w:cs="Times New Roman" w:eastAsiaTheme="minorEastAsia"/>
          <w:i/>
          <w:sz w:val="28"/>
          <w:szCs w:val="28"/>
        </w:rPr>
        <w:t>Х</w:t>
      </w:r>
      <w:r>
        <w:rPr>
          <w:rFonts w:ascii="Times New Roman" w:hAnsi="Times New Roman" w:cs="Times New Roman" w:eastAsiaTheme="minorEastAsia"/>
          <w:sz w:val="28"/>
          <w:szCs w:val="28"/>
        </w:rPr>
        <w:t xml:space="preserve"> – поточне, а </w:t>
      </w:r>
      <w:r>
        <w:rPr>
          <w:rFonts w:ascii="Times New Roman" w:hAnsi="Times New Roman" w:cs="Times New Roman" w:eastAsiaTheme="minorEastAsia"/>
          <w:i/>
          <w:sz w:val="28"/>
          <w:szCs w:val="28"/>
        </w:rPr>
        <w:t>Х</w:t>
      </w:r>
      <w:r>
        <w:rPr>
          <w:rFonts w:ascii="Times New Roman" w:hAnsi="Times New Roman" w:cs="Times New Roman" w:eastAsiaTheme="minorEastAsia"/>
          <w:i/>
          <w:sz w:val="28"/>
          <w:szCs w:val="28"/>
          <w:vertAlign w:val="subscript"/>
        </w:rPr>
        <w:t>0</w:t>
      </w:r>
      <w:r>
        <w:rPr>
          <w:rFonts w:ascii="Times New Roman" w:hAnsi="Times New Roman" w:cs="Times New Roman" w:eastAsiaTheme="minorEastAsia"/>
          <w:sz w:val="28"/>
          <w:szCs w:val="28"/>
        </w:rPr>
        <w:t xml:space="preserve"> – прийняте за угодою опорне значення величини, що пере-творюють. Вибір значення </w:t>
      </w:r>
      <w:r>
        <w:rPr>
          <w:rFonts w:ascii="Times New Roman" w:hAnsi="Times New Roman" w:cs="Times New Roman" w:eastAsiaTheme="minorEastAsia"/>
          <w:i/>
          <w:sz w:val="28"/>
          <w:szCs w:val="28"/>
        </w:rPr>
        <w:t>Х</w:t>
      </w:r>
      <w:r>
        <w:rPr>
          <w:rFonts w:ascii="Times New Roman" w:hAnsi="Times New Roman" w:cs="Times New Roman" w:eastAsiaTheme="minorEastAsia"/>
          <w:i/>
          <w:sz w:val="28"/>
          <w:szCs w:val="28"/>
          <w:vertAlign w:val="subscript"/>
        </w:rPr>
        <w:t>0</w:t>
      </w:r>
      <w:r>
        <w:rPr>
          <w:rFonts w:ascii="Times New Roman" w:hAnsi="Times New Roman" w:cs="Times New Roman" w:eastAsiaTheme="minorEastAsia"/>
          <w:sz w:val="28"/>
          <w:szCs w:val="28"/>
        </w:rPr>
        <w:t xml:space="preserve"> визначає нульову точку логарифмічної шкали різниць. До цих шкал неможливо безпосередньо застосувати жодну арифметичну дію. Наприклад: шкала гучності звуку.      </w:t>
      </w:r>
    </w:p>
    <w:p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б) 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логарифмічну абсолютну шкалу</w:t>
      </w:r>
      <w:r>
        <w:rPr>
          <w:rFonts w:ascii="Times New Roman" w:hAnsi="Times New Roman" w:cs="Times New Roman"/>
          <w:sz w:val="28"/>
          <w:szCs w:val="28"/>
        </w:rPr>
        <w:t xml:space="preserve"> – шкала, отримана за допомогою логарифмічного перетворення абсолютних шкал, визначається залежністю 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L</w:t>
      </w:r>
      <w:r>
        <w:rPr>
          <w:rFonts w:ascii="Times New Roman" w:hAnsi="Times New Roman" w:cs="Times New Roman"/>
          <w:i/>
          <w:sz w:val="28"/>
          <w:szCs w:val="28"/>
          <w:lang w:val="ru-RU"/>
        </w:rPr>
        <w:t xml:space="preserve"> = 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l</w:t>
      </w:r>
      <w:r>
        <w:rPr>
          <w:rFonts w:ascii="Times New Roman" w:hAnsi="Times New Roman" w:cs="Times New Roman"/>
          <w:i/>
          <w:sz w:val="28"/>
          <w:szCs w:val="28"/>
          <w:lang w:val="ru-RU"/>
        </w:rPr>
        <w:t>о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g</w:t>
      </w:r>
      <w:r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(де Х – безрозм</w:t>
      </w:r>
      <w:r>
        <w:rPr>
          <w:rFonts w:ascii="Times New Roman" w:hAnsi="Times New Roman" w:cs="Times New Roman"/>
          <w:sz w:val="28"/>
          <w:szCs w:val="28"/>
        </w:rPr>
        <w:t>ір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на величина з абсолютної шкали). В таких шкалах допустимі операції додавання та віднімання. </w:t>
      </w:r>
    </w:p>
    <w:p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</w:t>
      </w:r>
      <w:r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  <w:t>Біофізична шкала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-  шкала вимірювань властивостей </w:t>
      </w:r>
      <w:r>
        <w:rPr>
          <w:rFonts w:ascii="Times New Roman" w:hAnsi="Times New Roman" w:cs="Times New Roman"/>
          <w:sz w:val="28"/>
          <w:szCs w:val="28"/>
        </w:rPr>
        <w:t>фізичного чинника (стимулу), перетворена таким чином, щоб за результатами вимірювань цих властивостей, можна було б прогнозувати рівень або характер реакції біологічного об’єкта на дію цього чинника. До таких шкал відносять шкали світлових та кольорових вимірювань, сприйняття звуків, еквівалентних доз іонізуючих випромінювань тощо.</w:t>
      </w:r>
    </w:p>
    <w:p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Одномірна та багатомірна шкали</w:t>
      </w:r>
      <w:r>
        <w:rPr>
          <w:rFonts w:ascii="Times New Roman" w:hAnsi="Times New Roman" w:cs="Times New Roman"/>
          <w:sz w:val="28"/>
          <w:szCs w:val="28"/>
        </w:rPr>
        <w:t xml:space="preserve"> – це шкали, в яких для вимірювання властивості об’єкта, який характеризується одним або декількома параметрами, застосовують один або, відповідно, декілька чисел (знаків, символів, позначень). </w:t>
      </w:r>
    </w:p>
    <w:p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Шкала ФВ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шкала вимірювань кількісної властивості: упорядкована сукупність значень ФВ, призначена вихідною основою для вимірювання даної ФВ.     </w:t>
      </w:r>
    </w:p>
    <w:sectPr>
      <w:pgSz w:w="11906" w:h="16838"/>
      <w:pgMar w:top="1440" w:right="1080" w:bottom="1440" w:left="108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CC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Cambria">
    <w:panose1 w:val="02040503050406030204"/>
    <w:charset w:val="CC"/>
    <w:family w:val="roman"/>
    <w:pitch w:val="default"/>
    <w:sig w:usb0="E00002FF" w:usb1="400004FF" w:usb2="00000000" w:usb3="00000000" w:csb0="2000019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ourier New">
    <w:panose1 w:val="02070309020205020404"/>
    <w:charset w:val="CC"/>
    <w:family w:val="modern"/>
    <w:pitch w:val="default"/>
    <w:sig w:usb0="E0002AFF" w:usb1="C0007843" w:usb2="00000009" w:usb3="00000000" w:csb0="400001FF" w:csb1="FFFF0000"/>
  </w:font>
  <w:font w:name="Cambria Math">
    <w:panose1 w:val="02040503050406030204"/>
    <w:charset w:val="CC"/>
    <w:family w:val="roman"/>
    <w:pitch w:val="default"/>
    <w:sig w:usb0="E00002FF" w:usb1="420024FF" w:usb2="00000000" w:usb3="00000000" w:csb0="2000019F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E7E77FB"/>
    <w:multiLevelType w:val="multilevel"/>
    <w:tmpl w:val="4E7E77FB"/>
    <w:lvl w:ilvl="0" w:tentative="0">
      <w:start w:val="1"/>
      <w:numFmt w:val="bullet"/>
      <w:lvlText w:val=""/>
      <w:lvlJc w:val="left"/>
      <w:pPr>
        <w:ind w:left="1146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866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586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306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026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746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466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186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906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F1731B"/>
    <w:rsid w:val="00002E65"/>
    <w:rsid w:val="00006C3C"/>
    <w:rsid w:val="00006DAC"/>
    <w:rsid w:val="00012E9B"/>
    <w:rsid w:val="000138C9"/>
    <w:rsid w:val="000228F4"/>
    <w:rsid w:val="00027801"/>
    <w:rsid w:val="00034FFF"/>
    <w:rsid w:val="00036CFE"/>
    <w:rsid w:val="00037829"/>
    <w:rsid w:val="00037BA0"/>
    <w:rsid w:val="000400BD"/>
    <w:rsid w:val="00042086"/>
    <w:rsid w:val="0004449E"/>
    <w:rsid w:val="00044EBB"/>
    <w:rsid w:val="00047930"/>
    <w:rsid w:val="00053A7F"/>
    <w:rsid w:val="00055B44"/>
    <w:rsid w:val="00062E61"/>
    <w:rsid w:val="00063DE4"/>
    <w:rsid w:val="00064614"/>
    <w:rsid w:val="00066927"/>
    <w:rsid w:val="00067490"/>
    <w:rsid w:val="00067C00"/>
    <w:rsid w:val="00070D9A"/>
    <w:rsid w:val="00071452"/>
    <w:rsid w:val="00073B07"/>
    <w:rsid w:val="00074E0F"/>
    <w:rsid w:val="0008073F"/>
    <w:rsid w:val="00080BF7"/>
    <w:rsid w:val="000871B3"/>
    <w:rsid w:val="00090538"/>
    <w:rsid w:val="000905D1"/>
    <w:rsid w:val="000922CB"/>
    <w:rsid w:val="00092488"/>
    <w:rsid w:val="00092C52"/>
    <w:rsid w:val="00095095"/>
    <w:rsid w:val="000B13AA"/>
    <w:rsid w:val="000B4FCB"/>
    <w:rsid w:val="000B521F"/>
    <w:rsid w:val="000C155A"/>
    <w:rsid w:val="000C3840"/>
    <w:rsid w:val="000C58F6"/>
    <w:rsid w:val="000E0681"/>
    <w:rsid w:val="000E4433"/>
    <w:rsid w:val="000E4F25"/>
    <w:rsid w:val="000E639F"/>
    <w:rsid w:val="000F1C24"/>
    <w:rsid w:val="000F5D5C"/>
    <w:rsid w:val="00102825"/>
    <w:rsid w:val="00105398"/>
    <w:rsid w:val="00106773"/>
    <w:rsid w:val="001106C4"/>
    <w:rsid w:val="001122E1"/>
    <w:rsid w:val="001148A1"/>
    <w:rsid w:val="00121B66"/>
    <w:rsid w:val="0012313F"/>
    <w:rsid w:val="00132FD7"/>
    <w:rsid w:val="0013708C"/>
    <w:rsid w:val="00141D8B"/>
    <w:rsid w:val="00142827"/>
    <w:rsid w:val="00143DBD"/>
    <w:rsid w:val="00145C9B"/>
    <w:rsid w:val="001603A4"/>
    <w:rsid w:val="00162788"/>
    <w:rsid w:val="001634A0"/>
    <w:rsid w:val="00165B9E"/>
    <w:rsid w:val="00166B46"/>
    <w:rsid w:val="00167473"/>
    <w:rsid w:val="0018038D"/>
    <w:rsid w:val="00180658"/>
    <w:rsid w:val="00185F94"/>
    <w:rsid w:val="00190A7C"/>
    <w:rsid w:val="00192CD2"/>
    <w:rsid w:val="00193395"/>
    <w:rsid w:val="00193716"/>
    <w:rsid w:val="00194662"/>
    <w:rsid w:val="00196EA5"/>
    <w:rsid w:val="001979F1"/>
    <w:rsid w:val="001A2CAD"/>
    <w:rsid w:val="001A4801"/>
    <w:rsid w:val="001A4D9E"/>
    <w:rsid w:val="001B0733"/>
    <w:rsid w:val="001B0BA7"/>
    <w:rsid w:val="001B29BD"/>
    <w:rsid w:val="001C6B1E"/>
    <w:rsid w:val="001C7822"/>
    <w:rsid w:val="001D6B5E"/>
    <w:rsid w:val="001D6F86"/>
    <w:rsid w:val="001E0C8D"/>
    <w:rsid w:val="001E274B"/>
    <w:rsid w:val="001E4574"/>
    <w:rsid w:val="001E7E13"/>
    <w:rsid w:val="001F385B"/>
    <w:rsid w:val="001F4380"/>
    <w:rsid w:val="0020074E"/>
    <w:rsid w:val="002040EE"/>
    <w:rsid w:val="00211263"/>
    <w:rsid w:val="0021215E"/>
    <w:rsid w:val="002133FC"/>
    <w:rsid w:val="00227ADC"/>
    <w:rsid w:val="0023057A"/>
    <w:rsid w:val="00233245"/>
    <w:rsid w:val="00234837"/>
    <w:rsid w:val="002351B3"/>
    <w:rsid w:val="00236A8F"/>
    <w:rsid w:val="00241C34"/>
    <w:rsid w:val="00254770"/>
    <w:rsid w:val="00257160"/>
    <w:rsid w:val="00267059"/>
    <w:rsid w:val="00270BBA"/>
    <w:rsid w:val="002869D3"/>
    <w:rsid w:val="002A606B"/>
    <w:rsid w:val="002A702E"/>
    <w:rsid w:val="002B0C1F"/>
    <w:rsid w:val="002B2E1B"/>
    <w:rsid w:val="002B69EB"/>
    <w:rsid w:val="002B7440"/>
    <w:rsid w:val="002C0B89"/>
    <w:rsid w:val="002C1835"/>
    <w:rsid w:val="002C37F9"/>
    <w:rsid w:val="002D5B8D"/>
    <w:rsid w:val="002E2C4C"/>
    <w:rsid w:val="002E473F"/>
    <w:rsid w:val="002E5C16"/>
    <w:rsid w:val="002F4F5A"/>
    <w:rsid w:val="00301574"/>
    <w:rsid w:val="00303F4B"/>
    <w:rsid w:val="003065DB"/>
    <w:rsid w:val="00312C7E"/>
    <w:rsid w:val="00312CED"/>
    <w:rsid w:val="0031324A"/>
    <w:rsid w:val="00314070"/>
    <w:rsid w:val="00315825"/>
    <w:rsid w:val="0031677B"/>
    <w:rsid w:val="0031714E"/>
    <w:rsid w:val="00320EDE"/>
    <w:rsid w:val="003217FB"/>
    <w:rsid w:val="00336A63"/>
    <w:rsid w:val="003577E5"/>
    <w:rsid w:val="0036119C"/>
    <w:rsid w:val="00373C08"/>
    <w:rsid w:val="00374AEC"/>
    <w:rsid w:val="0037686F"/>
    <w:rsid w:val="003769E8"/>
    <w:rsid w:val="00377667"/>
    <w:rsid w:val="003842DC"/>
    <w:rsid w:val="00395B48"/>
    <w:rsid w:val="003A15E0"/>
    <w:rsid w:val="003B043E"/>
    <w:rsid w:val="003B0982"/>
    <w:rsid w:val="003B0D24"/>
    <w:rsid w:val="003B23F7"/>
    <w:rsid w:val="003C200E"/>
    <w:rsid w:val="003C5E33"/>
    <w:rsid w:val="003C6088"/>
    <w:rsid w:val="003D122F"/>
    <w:rsid w:val="003E4B01"/>
    <w:rsid w:val="003F1339"/>
    <w:rsid w:val="003F34A0"/>
    <w:rsid w:val="004005E7"/>
    <w:rsid w:val="004012DD"/>
    <w:rsid w:val="00402B61"/>
    <w:rsid w:val="004067D4"/>
    <w:rsid w:val="00406852"/>
    <w:rsid w:val="00406C83"/>
    <w:rsid w:val="0041137A"/>
    <w:rsid w:val="00417ABE"/>
    <w:rsid w:val="00422858"/>
    <w:rsid w:val="00426023"/>
    <w:rsid w:val="00426DC5"/>
    <w:rsid w:val="00440C00"/>
    <w:rsid w:val="00451437"/>
    <w:rsid w:val="00462700"/>
    <w:rsid w:val="0046302B"/>
    <w:rsid w:val="004636C2"/>
    <w:rsid w:val="004640C4"/>
    <w:rsid w:val="0047256A"/>
    <w:rsid w:val="00483F84"/>
    <w:rsid w:val="00485C59"/>
    <w:rsid w:val="00486123"/>
    <w:rsid w:val="00486557"/>
    <w:rsid w:val="00487DEB"/>
    <w:rsid w:val="004929F5"/>
    <w:rsid w:val="004973B5"/>
    <w:rsid w:val="004B2826"/>
    <w:rsid w:val="004B6B02"/>
    <w:rsid w:val="004B7B73"/>
    <w:rsid w:val="004C02DF"/>
    <w:rsid w:val="004C4D4F"/>
    <w:rsid w:val="004D2CB7"/>
    <w:rsid w:val="004D47B7"/>
    <w:rsid w:val="004D5BD1"/>
    <w:rsid w:val="004D5DE5"/>
    <w:rsid w:val="004E199D"/>
    <w:rsid w:val="004E7A0D"/>
    <w:rsid w:val="004F332E"/>
    <w:rsid w:val="004F39C1"/>
    <w:rsid w:val="004F50EB"/>
    <w:rsid w:val="00500645"/>
    <w:rsid w:val="00507ACC"/>
    <w:rsid w:val="00512C50"/>
    <w:rsid w:val="005149CC"/>
    <w:rsid w:val="0051560C"/>
    <w:rsid w:val="00517485"/>
    <w:rsid w:val="00520E4B"/>
    <w:rsid w:val="005236AB"/>
    <w:rsid w:val="005251A4"/>
    <w:rsid w:val="005304FC"/>
    <w:rsid w:val="00531FCC"/>
    <w:rsid w:val="00532BAC"/>
    <w:rsid w:val="00536178"/>
    <w:rsid w:val="00537A28"/>
    <w:rsid w:val="00540A20"/>
    <w:rsid w:val="00540B5E"/>
    <w:rsid w:val="00540F88"/>
    <w:rsid w:val="0054202C"/>
    <w:rsid w:val="00545B18"/>
    <w:rsid w:val="005530BA"/>
    <w:rsid w:val="0055465D"/>
    <w:rsid w:val="00560001"/>
    <w:rsid w:val="005612FA"/>
    <w:rsid w:val="00561406"/>
    <w:rsid w:val="005668F1"/>
    <w:rsid w:val="00566CEF"/>
    <w:rsid w:val="0057146A"/>
    <w:rsid w:val="00580DF0"/>
    <w:rsid w:val="005827A2"/>
    <w:rsid w:val="00586D0A"/>
    <w:rsid w:val="00592BC3"/>
    <w:rsid w:val="00595A9F"/>
    <w:rsid w:val="005B1275"/>
    <w:rsid w:val="005B36A0"/>
    <w:rsid w:val="005B615C"/>
    <w:rsid w:val="005B7A28"/>
    <w:rsid w:val="005C3EE2"/>
    <w:rsid w:val="005C4636"/>
    <w:rsid w:val="005C5EBE"/>
    <w:rsid w:val="005D205D"/>
    <w:rsid w:val="005D3794"/>
    <w:rsid w:val="005E0DE5"/>
    <w:rsid w:val="005E1D71"/>
    <w:rsid w:val="005E2505"/>
    <w:rsid w:val="005F45B1"/>
    <w:rsid w:val="005F7D3E"/>
    <w:rsid w:val="0060439E"/>
    <w:rsid w:val="006105B4"/>
    <w:rsid w:val="006127DE"/>
    <w:rsid w:val="00614161"/>
    <w:rsid w:val="00614720"/>
    <w:rsid w:val="00615AB2"/>
    <w:rsid w:val="006250C7"/>
    <w:rsid w:val="006253AD"/>
    <w:rsid w:val="006270AB"/>
    <w:rsid w:val="0062756F"/>
    <w:rsid w:val="00636AFA"/>
    <w:rsid w:val="0064264A"/>
    <w:rsid w:val="00645D6D"/>
    <w:rsid w:val="00650B94"/>
    <w:rsid w:val="00651089"/>
    <w:rsid w:val="00655DB3"/>
    <w:rsid w:val="006561F9"/>
    <w:rsid w:val="00664FEA"/>
    <w:rsid w:val="00670109"/>
    <w:rsid w:val="00681188"/>
    <w:rsid w:val="0068199E"/>
    <w:rsid w:val="00683380"/>
    <w:rsid w:val="00684871"/>
    <w:rsid w:val="00684E11"/>
    <w:rsid w:val="00685F7A"/>
    <w:rsid w:val="006A590D"/>
    <w:rsid w:val="006A7211"/>
    <w:rsid w:val="006B3578"/>
    <w:rsid w:val="006B54E0"/>
    <w:rsid w:val="006B6E8D"/>
    <w:rsid w:val="006C5FC1"/>
    <w:rsid w:val="006C7170"/>
    <w:rsid w:val="006C79AA"/>
    <w:rsid w:val="006D0C90"/>
    <w:rsid w:val="006D4091"/>
    <w:rsid w:val="006D7B7C"/>
    <w:rsid w:val="006E1440"/>
    <w:rsid w:val="006E2A6C"/>
    <w:rsid w:val="006E5205"/>
    <w:rsid w:val="006E5C34"/>
    <w:rsid w:val="006E79DF"/>
    <w:rsid w:val="006F194E"/>
    <w:rsid w:val="006F3631"/>
    <w:rsid w:val="006F4E7F"/>
    <w:rsid w:val="006F5081"/>
    <w:rsid w:val="006F5428"/>
    <w:rsid w:val="00700564"/>
    <w:rsid w:val="0070073C"/>
    <w:rsid w:val="007014C5"/>
    <w:rsid w:val="00702AEF"/>
    <w:rsid w:val="007034B2"/>
    <w:rsid w:val="007058AC"/>
    <w:rsid w:val="00705CCA"/>
    <w:rsid w:val="00706D7E"/>
    <w:rsid w:val="0070762F"/>
    <w:rsid w:val="007078AF"/>
    <w:rsid w:val="00707F85"/>
    <w:rsid w:val="00711D9C"/>
    <w:rsid w:val="00712FC3"/>
    <w:rsid w:val="00717064"/>
    <w:rsid w:val="00721F77"/>
    <w:rsid w:val="00725EAA"/>
    <w:rsid w:val="0072727D"/>
    <w:rsid w:val="007341C6"/>
    <w:rsid w:val="00734D38"/>
    <w:rsid w:val="00741A82"/>
    <w:rsid w:val="007474AC"/>
    <w:rsid w:val="0074793E"/>
    <w:rsid w:val="007530D1"/>
    <w:rsid w:val="007554B2"/>
    <w:rsid w:val="007568E0"/>
    <w:rsid w:val="00763908"/>
    <w:rsid w:val="00766BB7"/>
    <w:rsid w:val="0076750B"/>
    <w:rsid w:val="00770108"/>
    <w:rsid w:val="007716EE"/>
    <w:rsid w:val="00774B23"/>
    <w:rsid w:val="007828E7"/>
    <w:rsid w:val="00783C37"/>
    <w:rsid w:val="0078419C"/>
    <w:rsid w:val="0078778C"/>
    <w:rsid w:val="00790FAA"/>
    <w:rsid w:val="007916CB"/>
    <w:rsid w:val="007917C4"/>
    <w:rsid w:val="0079371C"/>
    <w:rsid w:val="007A0FD4"/>
    <w:rsid w:val="007A1094"/>
    <w:rsid w:val="007A4938"/>
    <w:rsid w:val="007D0BC1"/>
    <w:rsid w:val="007D1D24"/>
    <w:rsid w:val="007E0CE2"/>
    <w:rsid w:val="007E47E3"/>
    <w:rsid w:val="007F0A7D"/>
    <w:rsid w:val="007F273D"/>
    <w:rsid w:val="007F2767"/>
    <w:rsid w:val="007F455E"/>
    <w:rsid w:val="007F5B69"/>
    <w:rsid w:val="007F66E9"/>
    <w:rsid w:val="007F6FC7"/>
    <w:rsid w:val="00805CC2"/>
    <w:rsid w:val="00806B9A"/>
    <w:rsid w:val="00806EEC"/>
    <w:rsid w:val="00813EE7"/>
    <w:rsid w:val="00820E94"/>
    <w:rsid w:val="00824563"/>
    <w:rsid w:val="008406DA"/>
    <w:rsid w:val="00844677"/>
    <w:rsid w:val="008448E9"/>
    <w:rsid w:val="00847FB7"/>
    <w:rsid w:val="008507B5"/>
    <w:rsid w:val="00850D55"/>
    <w:rsid w:val="00863283"/>
    <w:rsid w:val="0087379D"/>
    <w:rsid w:val="0087600A"/>
    <w:rsid w:val="00881F5D"/>
    <w:rsid w:val="00882E55"/>
    <w:rsid w:val="008863FB"/>
    <w:rsid w:val="00886D3A"/>
    <w:rsid w:val="00892398"/>
    <w:rsid w:val="00892B62"/>
    <w:rsid w:val="00894BBF"/>
    <w:rsid w:val="008955D7"/>
    <w:rsid w:val="00895C07"/>
    <w:rsid w:val="00896C0C"/>
    <w:rsid w:val="008A11A6"/>
    <w:rsid w:val="008A2C41"/>
    <w:rsid w:val="008A3829"/>
    <w:rsid w:val="008A465F"/>
    <w:rsid w:val="008B1EDF"/>
    <w:rsid w:val="008C2751"/>
    <w:rsid w:val="008C54FF"/>
    <w:rsid w:val="008C7B0B"/>
    <w:rsid w:val="008D18F4"/>
    <w:rsid w:val="008D62C0"/>
    <w:rsid w:val="008D63E2"/>
    <w:rsid w:val="008D658C"/>
    <w:rsid w:val="008E106E"/>
    <w:rsid w:val="008F1041"/>
    <w:rsid w:val="008F2854"/>
    <w:rsid w:val="008F4B39"/>
    <w:rsid w:val="00902C74"/>
    <w:rsid w:val="00913F80"/>
    <w:rsid w:val="009152EC"/>
    <w:rsid w:val="00921F7B"/>
    <w:rsid w:val="009260DB"/>
    <w:rsid w:val="009340A4"/>
    <w:rsid w:val="00943409"/>
    <w:rsid w:val="00950A39"/>
    <w:rsid w:val="00961E72"/>
    <w:rsid w:val="00966629"/>
    <w:rsid w:val="00972BED"/>
    <w:rsid w:val="00975214"/>
    <w:rsid w:val="00980286"/>
    <w:rsid w:val="00981BBF"/>
    <w:rsid w:val="009839C8"/>
    <w:rsid w:val="0099007C"/>
    <w:rsid w:val="009915E8"/>
    <w:rsid w:val="009A56CF"/>
    <w:rsid w:val="009B2480"/>
    <w:rsid w:val="009B42F7"/>
    <w:rsid w:val="009B4A8F"/>
    <w:rsid w:val="009B6494"/>
    <w:rsid w:val="009C1755"/>
    <w:rsid w:val="009D02E5"/>
    <w:rsid w:val="009D1AF1"/>
    <w:rsid w:val="009D1EF0"/>
    <w:rsid w:val="009D4FC5"/>
    <w:rsid w:val="009E4507"/>
    <w:rsid w:val="009E7A37"/>
    <w:rsid w:val="009F01C9"/>
    <w:rsid w:val="009F04EE"/>
    <w:rsid w:val="009F22B1"/>
    <w:rsid w:val="009F663F"/>
    <w:rsid w:val="009F74F2"/>
    <w:rsid w:val="00A00661"/>
    <w:rsid w:val="00A00F5E"/>
    <w:rsid w:val="00A02DF3"/>
    <w:rsid w:val="00A031B4"/>
    <w:rsid w:val="00A06652"/>
    <w:rsid w:val="00A06B6F"/>
    <w:rsid w:val="00A16E84"/>
    <w:rsid w:val="00A208DC"/>
    <w:rsid w:val="00A278A5"/>
    <w:rsid w:val="00A304E9"/>
    <w:rsid w:val="00A41299"/>
    <w:rsid w:val="00A41DE7"/>
    <w:rsid w:val="00A4618C"/>
    <w:rsid w:val="00A55AB3"/>
    <w:rsid w:val="00A60E0F"/>
    <w:rsid w:val="00A612FC"/>
    <w:rsid w:val="00A64E00"/>
    <w:rsid w:val="00A73C57"/>
    <w:rsid w:val="00A82542"/>
    <w:rsid w:val="00A8300F"/>
    <w:rsid w:val="00A86425"/>
    <w:rsid w:val="00A93F2B"/>
    <w:rsid w:val="00AA10F5"/>
    <w:rsid w:val="00AA1CDD"/>
    <w:rsid w:val="00AB3E9F"/>
    <w:rsid w:val="00AC44A9"/>
    <w:rsid w:val="00AC496B"/>
    <w:rsid w:val="00AC5B9D"/>
    <w:rsid w:val="00AD3950"/>
    <w:rsid w:val="00AD542B"/>
    <w:rsid w:val="00AE1E34"/>
    <w:rsid w:val="00AE22DA"/>
    <w:rsid w:val="00AE3661"/>
    <w:rsid w:val="00AE4136"/>
    <w:rsid w:val="00AE5599"/>
    <w:rsid w:val="00AF0055"/>
    <w:rsid w:val="00AF1C11"/>
    <w:rsid w:val="00AF2BA7"/>
    <w:rsid w:val="00AF6EF0"/>
    <w:rsid w:val="00B031D4"/>
    <w:rsid w:val="00B20A8F"/>
    <w:rsid w:val="00B20D0F"/>
    <w:rsid w:val="00B2171A"/>
    <w:rsid w:val="00B2255D"/>
    <w:rsid w:val="00B304FF"/>
    <w:rsid w:val="00B3130D"/>
    <w:rsid w:val="00B447C1"/>
    <w:rsid w:val="00B460AD"/>
    <w:rsid w:val="00B50B7D"/>
    <w:rsid w:val="00B57A56"/>
    <w:rsid w:val="00B65956"/>
    <w:rsid w:val="00B70D71"/>
    <w:rsid w:val="00B830BB"/>
    <w:rsid w:val="00B875BC"/>
    <w:rsid w:val="00B905E8"/>
    <w:rsid w:val="00B945A0"/>
    <w:rsid w:val="00BA4050"/>
    <w:rsid w:val="00BA6447"/>
    <w:rsid w:val="00BB010B"/>
    <w:rsid w:val="00BB0826"/>
    <w:rsid w:val="00BB1A26"/>
    <w:rsid w:val="00BB3497"/>
    <w:rsid w:val="00BC29E2"/>
    <w:rsid w:val="00BC52B8"/>
    <w:rsid w:val="00BD4B6E"/>
    <w:rsid w:val="00BD63C2"/>
    <w:rsid w:val="00BD79D5"/>
    <w:rsid w:val="00BE27AC"/>
    <w:rsid w:val="00BE3B31"/>
    <w:rsid w:val="00BE522D"/>
    <w:rsid w:val="00BE7E49"/>
    <w:rsid w:val="00BF0B65"/>
    <w:rsid w:val="00BF1E86"/>
    <w:rsid w:val="00BF2337"/>
    <w:rsid w:val="00C000C5"/>
    <w:rsid w:val="00C01750"/>
    <w:rsid w:val="00C017CE"/>
    <w:rsid w:val="00C24DFE"/>
    <w:rsid w:val="00C3017A"/>
    <w:rsid w:val="00C320D0"/>
    <w:rsid w:val="00C3705C"/>
    <w:rsid w:val="00C446A1"/>
    <w:rsid w:val="00C60BAA"/>
    <w:rsid w:val="00C61A14"/>
    <w:rsid w:val="00C66C6F"/>
    <w:rsid w:val="00C92C81"/>
    <w:rsid w:val="00C9358E"/>
    <w:rsid w:val="00CA079D"/>
    <w:rsid w:val="00CA0A7E"/>
    <w:rsid w:val="00CA63E0"/>
    <w:rsid w:val="00CA6970"/>
    <w:rsid w:val="00CC1204"/>
    <w:rsid w:val="00CC354A"/>
    <w:rsid w:val="00CC6DD5"/>
    <w:rsid w:val="00CE0852"/>
    <w:rsid w:val="00CE1515"/>
    <w:rsid w:val="00CE37D8"/>
    <w:rsid w:val="00CE7529"/>
    <w:rsid w:val="00CF488A"/>
    <w:rsid w:val="00CF5A8B"/>
    <w:rsid w:val="00D02048"/>
    <w:rsid w:val="00D037E1"/>
    <w:rsid w:val="00D05E88"/>
    <w:rsid w:val="00D11444"/>
    <w:rsid w:val="00D124C8"/>
    <w:rsid w:val="00D2739B"/>
    <w:rsid w:val="00D277FD"/>
    <w:rsid w:val="00D300C1"/>
    <w:rsid w:val="00D30C0B"/>
    <w:rsid w:val="00D311D8"/>
    <w:rsid w:val="00D52F3E"/>
    <w:rsid w:val="00D62D35"/>
    <w:rsid w:val="00D64241"/>
    <w:rsid w:val="00D64C75"/>
    <w:rsid w:val="00D6677C"/>
    <w:rsid w:val="00D67CAE"/>
    <w:rsid w:val="00D7201D"/>
    <w:rsid w:val="00D75396"/>
    <w:rsid w:val="00D7698B"/>
    <w:rsid w:val="00D76FB9"/>
    <w:rsid w:val="00D800A0"/>
    <w:rsid w:val="00D82845"/>
    <w:rsid w:val="00D83E67"/>
    <w:rsid w:val="00D8597A"/>
    <w:rsid w:val="00D918D4"/>
    <w:rsid w:val="00D930F6"/>
    <w:rsid w:val="00D93C2C"/>
    <w:rsid w:val="00D9614B"/>
    <w:rsid w:val="00DA34D9"/>
    <w:rsid w:val="00DA599D"/>
    <w:rsid w:val="00DB06FF"/>
    <w:rsid w:val="00DB4CA8"/>
    <w:rsid w:val="00DB62CC"/>
    <w:rsid w:val="00DC5F31"/>
    <w:rsid w:val="00DD1009"/>
    <w:rsid w:val="00DD20EF"/>
    <w:rsid w:val="00DD2C5D"/>
    <w:rsid w:val="00DD3282"/>
    <w:rsid w:val="00DD62E1"/>
    <w:rsid w:val="00DD70CC"/>
    <w:rsid w:val="00DE182E"/>
    <w:rsid w:val="00DE4014"/>
    <w:rsid w:val="00DE51DC"/>
    <w:rsid w:val="00DE7F72"/>
    <w:rsid w:val="00DF104A"/>
    <w:rsid w:val="00DF12CF"/>
    <w:rsid w:val="00DF260E"/>
    <w:rsid w:val="00DF32C1"/>
    <w:rsid w:val="00E004DF"/>
    <w:rsid w:val="00E07488"/>
    <w:rsid w:val="00E1522C"/>
    <w:rsid w:val="00E15E5F"/>
    <w:rsid w:val="00E218D5"/>
    <w:rsid w:val="00E2462E"/>
    <w:rsid w:val="00E26B21"/>
    <w:rsid w:val="00E3062A"/>
    <w:rsid w:val="00E3065B"/>
    <w:rsid w:val="00E30DB4"/>
    <w:rsid w:val="00E33798"/>
    <w:rsid w:val="00E3402D"/>
    <w:rsid w:val="00E35485"/>
    <w:rsid w:val="00E36D29"/>
    <w:rsid w:val="00E37B21"/>
    <w:rsid w:val="00E413E1"/>
    <w:rsid w:val="00E55D18"/>
    <w:rsid w:val="00E617F6"/>
    <w:rsid w:val="00E63ACB"/>
    <w:rsid w:val="00E70113"/>
    <w:rsid w:val="00E74284"/>
    <w:rsid w:val="00E746C4"/>
    <w:rsid w:val="00E81811"/>
    <w:rsid w:val="00E82FFA"/>
    <w:rsid w:val="00E83379"/>
    <w:rsid w:val="00E913F9"/>
    <w:rsid w:val="00E9145A"/>
    <w:rsid w:val="00E93BE8"/>
    <w:rsid w:val="00E94CB9"/>
    <w:rsid w:val="00E979CA"/>
    <w:rsid w:val="00EA2FA5"/>
    <w:rsid w:val="00EB1AA2"/>
    <w:rsid w:val="00EB214E"/>
    <w:rsid w:val="00EB4999"/>
    <w:rsid w:val="00EB6202"/>
    <w:rsid w:val="00EC4170"/>
    <w:rsid w:val="00EC5A3D"/>
    <w:rsid w:val="00ED1867"/>
    <w:rsid w:val="00ED305D"/>
    <w:rsid w:val="00EE167F"/>
    <w:rsid w:val="00EE5494"/>
    <w:rsid w:val="00EE78EB"/>
    <w:rsid w:val="00EE7F4F"/>
    <w:rsid w:val="00EF1DC9"/>
    <w:rsid w:val="00EF6EDC"/>
    <w:rsid w:val="00F02045"/>
    <w:rsid w:val="00F05A90"/>
    <w:rsid w:val="00F067F2"/>
    <w:rsid w:val="00F148A8"/>
    <w:rsid w:val="00F15B06"/>
    <w:rsid w:val="00F1731B"/>
    <w:rsid w:val="00F25AD0"/>
    <w:rsid w:val="00F33059"/>
    <w:rsid w:val="00F34653"/>
    <w:rsid w:val="00F40142"/>
    <w:rsid w:val="00F41629"/>
    <w:rsid w:val="00F4243D"/>
    <w:rsid w:val="00F436E9"/>
    <w:rsid w:val="00F44D6E"/>
    <w:rsid w:val="00F530AC"/>
    <w:rsid w:val="00F651A5"/>
    <w:rsid w:val="00F65EF0"/>
    <w:rsid w:val="00F7134E"/>
    <w:rsid w:val="00F7525F"/>
    <w:rsid w:val="00F7674F"/>
    <w:rsid w:val="00F8210E"/>
    <w:rsid w:val="00F835F4"/>
    <w:rsid w:val="00F90498"/>
    <w:rsid w:val="00F915AF"/>
    <w:rsid w:val="00F9456C"/>
    <w:rsid w:val="00F960A3"/>
    <w:rsid w:val="00F96584"/>
    <w:rsid w:val="00FA33D3"/>
    <w:rsid w:val="00FA3F71"/>
    <w:rsid w:val="00FA632E"/>
    <w:rsid w:val="00FC2180"/>
    <w:rsid w:val="00FD5A05"/>
    <w:rsid w:val="00FE0278"/>
    <w:rsid w:val="00FE0C48"/>
    <w:rsid w:val="00FE6DD7"/>
    <w:rsid w:val="00FF1599"/>
    <w:rsid w:val="00FF356E"/>
    <w:rsid w:val="64804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99" w:name="Placeholder Text"/>
    <w:lsdException w:qFormat="1" w:unhideWhenUsed="0" w:uiPriority="1" w:semiHidden="0" w:name="No Spacing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uk-UA" w:eastAsia="en-US" w:bidi="en-US"/>
    </w:rPr>
  </w:style>
  <w:style w:type="paragraph" w:styleId="2">
    <w:name w:val="heading 1"/>
    <w:basedOn w:val="1"/>
    <w:next w:val="1"/>
    <w:link w:val="21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6091" w:themeColor="accent1" w:themeShade="BF"/>
      <w:sz w:val="28"/>
      <w:szCs w:val="28"/>
    </w:rPr>
  </w:style>
  <w:style w:type="paragraph" w:styleId="3">
    <w:name w:val="heading 2"/>
    <w:basedOn w:val="1"/>
    <w:next w:val="1"/>
    <w:link w:val="22"/>
    <w:semiHidden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4">
    <w:name w:val="heading 3"/>
    <w:basedOn w:val="1"/>
    <w:next w:val="1"/>
    <w:link w:val="23"/>
    <w:semiHidden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5">
    <w:name w:val="heading 4"/>
    <w:basedOn w:val="1"/>
    <w:next w:val="1"/>
    <w:link w:val="24"/>
    <w:semiHidden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6">
    <w:name w:val="heading 5"/>
    <w:basedOn w:val="1"/>
    <w:next w:val="1"/>
    <w:link w:val="25"/>
    <w:semiHidden/>
    <w:unhideWhenUsed/>
    <w:qFormat/>
    <w:uiPriority w:val="9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43F61" w:themeColor="accent1" w:themeShade="7F"/>
    </w:rPr>
  </w:style>
  <w:style w:type="paragraph" w:styleId="7">
    <w:name w:val="heading 6"/>
    <w:basedOn w:val="1"/>
    <w:next w:val="1"/>
    <w:link w:val="26"/>
    <w:semiHidden/>
    <w:unhideWhenUsed/>
    <w:qFormat/>
    <w:uiPriority w:val="9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43F61" w:themeColor="accent1" w:themeShade="7F"/>
    </w:rPr>
  </w:style>
  <w:style w:type="paragraph" w:styleId="8">
    <w:name w:val="heading 7"/>
    <w:basedOn w:val="1"/>
    <w:next w:val="1"/>
    <w:link w:val="27"/>
    <w:semiHidden/>
    <w:unhideWhenUsed/>
    <w:qFormat/>
    <w:uiPriority w:val="9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3F3F3F" w:themeColor="text1" w:themeTint="BF"/>
    </w:rPr>
  </w:style>
  <w:style w:type="paragraph" w:styleId="9">
    <w:name w:val="heading 8"/>
    <w:basedOn w:val="1"/>
    <w:next w:val="1"/>
    <w:link w:val="28"/>
    <w:semiHidden/>
    <w:unhideWhenUsed/>
    <w:qFormat/>
    <w:uiPriority w:val="9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paragraph" w:styleId="10">
    <w:name w:val="heading 9"/>
    <w:basedOn w:val="1"/>
    <w:next w:val="1"/>
    <w:link w:val="29"/>
    <w:semiHidden/>
    <w:unhideWhenUsed/>
    <w:qFormat/>
    <w:uiPriority w:val="9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3F3F3F" w:themeColor="text1" w:themeTint="BF"/>
      <w:sz w:val="20"/>
      <w:szCs w:val="20"/>
    </w:rPr>
  </w:style>
  <w:style w:type="character" w:default="1" w:styleId="11">
    <w:name w:val="Default Paragraph Font"/>
    <w:semiHidden/>
    <w:unhideWhenUsed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Emphasis"/>
    <w:basedOn w:val="11"/>
    <w:qFormat/>
    <w:uiPriority w:val="20"/>
    <w:rPr>
      <w:i/>
      <w:iCs/>
    </w:rPr>
  </w:style>
  <w:style w:type="character" w:styleId="14">
    <w:name w:val="Hyperlink"/>
    <w:basedOn w:val="11"/>
    <w:semiHidden/>
    <w:unhideWhenUsed/>
    <w:uiPriority w:val="99"/>
    <w:rPr>
      <w:color w:val="0000FF"/>
      <w:u w:val="single"/>
    </w:rPr>
  </w:style>
  <w:style w:type="character" w:styleId="15">
    <w:name w:val="Strong"/>
    <w:basedOn w:val="11"/>
    <w:qFormat/>
    <w:uiPriority w:val="22"/>
    <w:rPr>
      <w:b/>
      <w:bCs/>
    </w:rPr>
  </w:style>
  <w:style w:type="paragraph" w:styleId="16">
    <w:name w:val="Balloon Text"/>
    <w:basedOn w:val="1"/>
    <w:link w:val="43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17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18">
    <w:name w:val="Title"/>
    <w:basedOn w:val="1"/>
    <w:next w:val="1"/>
    <w:link w:val="30"/>
    <w:qFormat/>
    <w:uiPriority w:val="10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paragraph" w:styleId="19">
    <w:name w:val="Subtitle"/>
    <w:basedOn w:val="1"/>
    <w:next w:val="1"/>
    <w:link w:val="31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20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en-US" w:eastAsia="en-US" w:bidi="en-US"/>
    </w:rPr>
  </w:style>
  <w:style w:type="character" w:customStyle="1" w:styleId="21">
    <w:name w:val="Заголовок 1 Знак"/>
    <w:basedOn w:val="11"/>
    <w:link w:val="2"/>
    <w:uiPriority w:val="9"/>
    <w:rPr>
      <w:rFonts w:asciiTheme="majorHAnsi" w:hAnsiTheme="majorHAnsi" w:eastAsiaTheme="majorEastAsia" w:cstheme="majorBidi"/>
      <w:b/>
      <w:bCs/>
      <w:color w:val="366091" w:themeColor="accent1" w:themeShade="BF"/>
      <w:sz w:val="28"/>
      <w:szCs w:val="28"/>
    </w:rPr>
  </w:style>
  <w:style w:type="character" w:customStyle="1" w:styleId="22">
    <w:name w:val="Заголовок 2 Знак"/>
    <w:basedOn w:val="11"/>
    <w:link w:val="3"/>
    <w:semiHidden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customStyle="1" w:styleId="23">
    <w:name w:val="Заголовок 3 Знак"/>
    <w:basedOn w:val="11"/>
    <w:link w:val="4"/>
    <w:qFormat/>
    <w:uiPriority w:val="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customStyle="1" w:styleId="24">
    <w:name w:val="Заголовок 4 Знак"/>
    <w:basedOn w:val="11"/>
    <w:link w:val="5"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customStyle="1" w:styleId="25">
    <w:name w:val="Заголовок 5 Знак"/>
    <w:basedOn w:val="11"/>
    <w:link w:val="6"/>
    <w:uiPriority w:val="9"/>
    <w:rPr>
      <w:rFonts w:asciiTheme="majorHAnsi" w:hAnsiTheme="majorHAnsi" w:eastAsiaTheme="majorEastAsia" w:cstheme="majorBidi"/>
      <w:color w:val="243F61" w:themeColor="accent1" w:themeShade="7F"/>
    </w:rPr>
  </w:style>
  <w:style w:type="character" w:customStyle="1" w:styleId="26">
    <w:name w:val="Заголовок 6 Знак"/>
    <w:basedOn w:val="11"/>
    <w:link w:val="7"/>
    <w:uiPriority w:val="9"/>
    <w:rPr>
      <w:rFonts w:asciiTheme="majorHAnsi" w:hAnsiTheme="majorHAnsi" w:eastAsiaTheme="majorEastAsia" w:cstheme="majorBidi"/>
      <w:i/>
      <w:iCs/>
      <w:color w:val="243F61" w:themeColor="accent1" w:themeShade="7F"/>
    </w:rPr>
  </w:style>
  <w:style w:type="character" w:customStyle="1" w:styleId="27">
    <w:name w:val="Заголовок 7 Знак"/>
    <w:basedOn w:val="11"/>
    <w:link w:val="8"/>
    <w:uiPriority w:val="9"/>
    <w:rPr>
      <w:rFonts w:asciiTheme="majorHAnsi" w:hAnsiTheme="majorHAnsi" w:eastAsiaTheme="majorEastAsia" w:cstheme="majorBidi"/>
      <w:i/>
      <w:iCs/>
      <w:color w:val="3F3F3F" w:themeColor="text1" w:themeTint="BF"/>
    </w:rPr>
  </w:style>
  <w:style w:type="character" w:customStyle="1" w:styleId="28">
    <w:name w:val="Заголовок 8 Знак"/>
    <w:basedOn w:val="11"/>
    <w:link w:val="9"/>
    <w:uiPriority w:val="9"/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character" w:customStyle="1" w:styleId="29">
    <w:name w:val="Заголовок 9 Знак"/>
    <w:basedOn w:val="11"/>
    <w:link w:val="10"/>
    <w:uiPriority w:val="9"/>
    <w:rPr>
      <w:rFonts w:asciiTheme="majorHAnsi" w:hAnsiTheme="majorHAnsi" w:eastAsiaTheme="majorEastAsia" w:cstheme="majorBidi"/>
      <w:i/>
      <w:iCs/>
      <w:color w:val="3F3F3F" w:themeColor="text1" w:themeTint="BF"/>
      <w:sz w:val="20"/>
      <w:szCs w:val="20"/>
    </w:rPr>
  </w:style>
  <w:style w:type="character" w:customStyle="1" w:styleId="30">
    <w:name w:val="Название Знак"/>
    <w:basedOn w:val="11"/>
    <w:link w:val="18"/>
    <w:uiPriority w:val="10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31">
    <w:name w:val="Подзаголовок Знак"/>
    <w:basedOn w:val="11"/>
    <w:link w:val="19"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32">
    <w:name w:val="List Paragraph"/>
    <w:basedOn w:val="1"/>
    <w:qFormat/>
    <w:uiPriority w:val="34"/>
    <w:pPr>
      <w:ind w:left="720"/>
      <w:contextualSpacing/>
    </w:pPr>
  </w:style>
  <w:style w:type="paragraph" w:styleId="33">
    <w:name w:val="Quote"/>
    <w:basedOn w:val="1"/>
    <w:next w:val="1"/>
    <w:link w:val="34"/>
    <w:qFormat/>
    <w:uiPriority w:val="29"/>
    <w:rPr>
      <w:i/>
      <w:iCs/>
      <w:color w:val="000000" w:themeColor="text1"/>
    </w:rPr>
  </w:style>
  <w:style w:type="character" w:customStyle="1" w:styleId="34">
    <w:name w:val="Цитата 2 Знак"/>
    <w:basedOn w:val="11"/>
    <w:link w:val="33"/>
    <w:uiPriority w:val="29"/>
    <w:rPr>
      <w:i/>
      <w:iCs/>
      <w:color w:val="000000" w:themeColor="text1"/>
    </w:rPr>
  </w:style>
  <w:style w:type="paragraph" w:styleId="35">
    <w:name w:val="Intense Quote"/>
    <w:basedOn w:val="1"/>
    <w:next w:val="1"/>
    <w:link w:val="36"/>
    <w:qFormat/>
    <w:uiPriority w:val="30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36">
    <w:name w:val="Выделенная цитата Знак"/>
    <w:basedOn w:val="11"/>
    <w:link w:val="35"/>
    <w:uiPriority w:val="30"/>
    <w:rPr>
      <w:b/>
      <w:bCs/>
      <w:i/>
      <w:iCs/>
      <w:color w:val="4F81BD" w:themeColor="accent1"/>
    </w:rPr>
  </w:style>
  <w:style w:type="character" w:customStyle="1" w:styleId="37">
    <w:name w:val="Subtle Emphasis"/>
    <w:basedOn w:val="11"/>
    <w:qFormat/>
    <w:uiPriority w:val="19"/>
    <w:rPr>
      <w:i/>
      <w:iCs/>
      <w:color w:val="7F7F7F" w:themeColor="text1" w:themeTint="7F"/>
    </w:rPr>
  </w:style>
  <w:style w:type="character" w:customStyle="1" w:styleId="38">
    <w:name w:val="Intense Emphasis"/>
    <w:basedOn w:val="11"/>
    <w:qFormat/>
    <w:uiPriority w:val="21"/>
    <w:rPr>
      <w:b/>
      <w:bCs/>
      <w:i/>
      <w:iCs/>
      <w:color w:val="4F81BD" w:themeColor="accent1"/>
    </w:rPr>
  </w:style>
  <w:style w:type="character" w:customStyle="1" w:styleId="39">
    <w:name w:val="Subtle Reference"/>
    <w:basedOn w:val="11"/>
    <w:qFormat/>
    <w:uiPriority w:val="31"/>
    <w:rPr>
      <w:smallCaps/>
      <w:color w:val="C0504D" w:themeColor="accent2"/>
      <w:u w:val="single"/>
    </w:rPr>
  </w:style>
  <w:style w:type="character" w:customStyle="1" w:styleId="40">
    <w:name w:val="Intense Reference"/>
    <w:basedOn w:val="11"/>
    <w:qFormat/>
    <w:uiPriority w:val="32"/>
    <w:rPr>
      <w:b/>
      <w:bCs/>
      <w:smallCaps/>
      <w:color w:val="C0504D" w:themeColor="accent2"/>
      <w:spacing w:val="5"/>
      <w:u w:val="single"/>
    </w:rPr>
  </w:style>
  <w:style w:type="character" w:customStyle="1" w:styleId="41">
    <w:name w:val="Book Title"/>
    <w:basedOn w:val="11"/>
    <w:qFormat/>
    <w:uiPriority w:val="33"/>
    <w:rPr>
      <w:b/>
      <w:bCs/>
      <w:smallCaps/>
      <w:spacing w:val="5"/>
    </w:rPr>
  </w:style>
  <w:style w:type="paragraph" w:customStyle="1" w:styleId="42">
    <w:name w:val="TOC Heading"/>
    <w:basedOn w:val="2"/>
    <w:next w:val="1"/>
    <w:semiHidden/>
    <w:unhideWhenUsed/>
    <w:qFormat/>
    <w:uiPriority w:val="39"/>
    <w:pPr>
      <w:outlineLvl w:val="9"/>
    </w:pPr>
  </w:style>
  <w:style w:type="character" w:customStyle="1" w:styleId="43">
    <w:name w:val="Текст выноски Знак"/>
    <w:basedOn w:val="11"/>
    <w:link w:val="16"/>
    <w:semiHidden/>
    <w:qFormat/>
    <w:uiPriority w:val="99"/>
    <w:rPr>
      <w:rFonts w:ascii="Tahoma" w:hAnsi="Tahoma" w:cs="Tahoma"/>
      <w:sz w:val="16"/>
      <w:szCs w:val="16"/>
      <w:lang w:val="uk-UA"/>
    </w:rPr>
  </w:style>
  <w:style w:type="character" w:styleId="44">
    <w:name w:val="Placeholder Text"/>
    <w:basedOn w:val="11"/>
    <w:semiHidden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3.jpeg"/><Relationship Id="rId7" Type="http://schemas.openxmlformats.org/officeDocument/2006/relationships/image" Target="media/image2.pn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CB0558-9F01-4AE2-B275-E67B8DDCA08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6</Pages>
  <Words>1487</Words>
  <Characters>8481</Characters>
  <Lines>70</Lines>
  <Paragraphs>19</Paragraphs>
  <TotalTime>7</TotalTime>
  <ScaleCrop>false</ScaleCrop>
  <LinksUpToDate>false</LinksUpToDate>
  <CharactersWithSpaces>9949</CharactersWithSpaces>
  <Application>WPS Office_11.2.0.11440_F1E327BC-269C-435d-A152-05C5408002CA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2022-10-24T21:22:00Z</dcterms:created>
  <dc:creator>Tamara</dc:creator>
  <cp:lastModifiedBy>Tamara Chebykina</cp:lastModifiedBy>
  <dcterms:modified xsi:type="dcterms:W3CDTF">2023-02-14T21:26:42Z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1049-11.2.0.11440</vt:lpwstr>
  </property>
  <property fmtid="{D5CDD505-2E9C-101B-9397-08002B2CF9AE}" pid="3" name="ICV">
    <vt:lpwstr>5D1B685BF19C42C09CFAB0FD9D530334</vt:lpwstr>
  </property>
</Properties>
</file>